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A4" w:rsidRDefault="00E145C3" w:rsidP="005E5EA4">
      <w:pPr>
        <w:spacing w:after="0"/>
        <w:jc w:val="center"/>
        <w:rPr>
          <w:b/>
        </w:rPr>
      </w:pPr>
      <w:bookmarkStart w:id="0" w:name="_Toc442343915"/>
      <w:bookmarkStart w:id="1" w:name="_Toc442344102"/>
      <w:bookmarkStart w:id="2" w:name="_Toc444251496"/>
      <w:bookmarkStart w:id="3" w:name="_Toc458031765"/>
      <w:bookmarkStart w:id="4" w:name="_Toc489963817"/>
      <w:bookmarkStart w:id="5" w:name="_Toc489963892"/>
      <w:bookmarkStart w:id="6" w:name="_Toc489963935"/>
      <w:bookmarkStart w:id="7" w:name="_Toc489964043"/>
      <w:r w:rsidRPr="00E145C3">
        <w:rPr>
          <w:b/>
        </w:rPr>
        <w:t>D</w:t>
      </w:r>
      <w:r>
        <w:rPr>
          <w:b/>
        </w:rPr>
        <w:t>iscretionary Development Equaliz</w:t>
      </w:r>
      <w:r w:rsidRPr="00E145C3">
        <w:rPr>
          <w:b/>
        </w:rPr>
        <w:t>ation Grant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145C3">
        <w:rPr>
          <w:b/>
        </w:rPr>
        <w:t xml:space="preserve"> (DDEG)</w:t>
      </w:r>
      <w:r w:rsidR="005E5EA4">
        <w:rPr>
          <w:b/>
        </w:rPr>
        <w:t xml:space="preserve"> - </w:t>
      </w:r>
      <w:r>
        <w:rPr>
          <w:b/>
        </w:rPr>
        <w:t xml:space="preserve">Key Changes between 2017/18 and 2018/19 </w:t>
      </w:r>
    </w:p>
    <w:p w:rsidR="0068437C" w:rsidRDefault="0068437C" w:rsidP="005E5EA4">
      <w:pPr>
        <w:spacing w:after="0"/>
      </w:pPr>
    </w:p>
    <w:p w:rsidR="005E5EA4" w:rsidRPr="005E5EA4" w:rsidRDefault="005E5EA4" w:rsidP="005E5EA4">
      <w:pPr>
        <w:spacing w:after="0"/>
      </w:pPr>
      <w:r w:rsidRPr="005E5EA4">
        <w:t xml:space="preserve">Based on issues raised by the </w:t>
      </w:r>
      <w:r>
        <w:t>Local Governments (</w:t>
      </w:r>
      <w:r w:rsidRPr="005E5EA4">
        <w:t>LGs</w:t>
      </w:r>
      <w:r>
        <w:t>)</w:t>
      </w:r>
      <w:r w:rsidRPr="005E5EA4">
        <w:t xml:space="preserve"> during budgeting and implementation of the DDEG, the team composed of representatives from </w:t>
      </w:r>
      <w:r w:rsidR="0068437C">
        <w:t>OPM</w:t>
      </w:r>
      <w:r>
        <w:t xml:space="preserve">, </w:t>
      </w:r>
      <w:r w:rsidR="0068437C">
        <w:t>MoLG</w:t>
      </w:r>
      <w:r>
        <w:t>, and L</w:t>
      </w:r>
      <w:r w:rsidR="0068437C">
        <w:t>GFC</w:t>
      </w:r>
      <w:r w:rsidRPr="005E5EA4">
        <w:t xml:space="preserve"> reviewed an</w:t>
      </w:r>
      <w:r>
        <w:t xml:space="preserve">d refined the DDEG guidelines that will be used by LGs to budget for Financial Year </w:t>
      </w:r>
      <w:r w:rsidRPr="005E5EA4">
        <w:t>2018/19</w:t>
      </w:r>
      <w:r>
        <w:t>.</w:t>
      </w:r>
      <w:r w:rsidRPr="005E5EA4">
        <w:t xml:space="preserve"> </w:t>
      </w:r>
      <w:r>
        <w:t>The major changes/refinements are summarized below.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1800"/>
        <w:gridCol w:w="2340"/>
        <w:gridCol w:w="4770"/>
      </w:tblGrid>
      <w:tr w:rsidR="00E145C3" w:rsidRPr="0068437C" w:rsidTr="0068437C">
        <w:trPr>
          <w:tblHeader/>
        </w:trPr>
        <w:tc>
          <w:tcPr>
            <w:tcW w:w="535" w:type="dxa"/>
            <w:shd w:val="clear" w:color="auto" w:fill="BFBFBF" w:themeFill="background1" w:themeFillShade="BF"/>
          </w:tcPr>
          <w:p w:rsidR="00E145C3" w:rsidRPr="0068437C" w:rsidRDefault="00E145C3" w:rsidP="005E5EA4">
            <w:pPr>
              <w:rPr>
                <w:b/>
              </w:rPr>
            </w:pPr>
            <w:r w:rsidRPr="0068437C">
              <w:rPr>
                <w:b/>
              </w:rPr>
              <w:t>No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E145C3" w:rsidRPr="0068437C" w:rsidRDefault="00E145C3" w:rsidP="005E5EA4">
            <w:pPr>
              <w:rPr>
                <w:b/>
              </w:rPr>
            </w:pPr>
            <w:r w:rsidRPr="0068437C">
              <w:rPr>
                <w:b/>
              </w:rPr>
              <w:t>Issue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E145C3" w:rsidRPr="0068437C" w:rsidRDefault="0068437C" w:rsidP="005E5EA4">
            <w:pPr>
              <w:rPr>
                <w:b/>
              </w:rPr>
            </w:pPr>
            <w:r w:rsidRPr="0068437C">
              <w:rPr>
                <w:b/>
              </w:rPr>
              <w:t xml:space="preserve"> 2017/18 Guidelines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:rsidR="00E145C3" w:rsidRPr="0068437C" w:rsidRDefault="00E145C3" w:rsidP="0068437C">
            <w:pPr>
              <w:rPr>
                <w:b/>
              </w:rPr>
            </w:pPr>
            <w:r w:rsidRPr="0068437C">
              <w:rPr>
                <w:b/>
              </w:rPr>
              <w:t>2018/19</w:t>
            </w:r>
            <w:r w:rsidR="0068437C" w:rsidRPr="0068437C">
              <w:rPr>
                <w:b/>
              </w:rPr>
              <w:t xml:space="preserve"> Guidelines </w:t>
            </w:r>
          </w:p>
        </w:tc>
      </w:tr>
      <w:tr w:rsidR="00E145C3" w:rsidRPr="0068437C" w:rsidTr="0068437C">
        <w:tc>
          <w:tcPr>
            <w:tcW w:w="535" w:type="dxa"/>
          </w:tcPr>
          <w:p w:rsidR="00E145C3" w:rsidRPr="0068437C" w:rsidRDefault="00E145C3" w:rsidP="005E5E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</w:tcPr>
          <w:p w:rsidR="00E145C3" w:rsidRPr="0068437C" w:rsidRDefault="00E145C3" w:rsidP="005E5EA4">
            <w:r w:rsidRPr="0068437C">
              <w:t>R</w:t>
            </w:r>
            <w:r w:rsidRPr="0068437C">
              <w:t>oles, responsibilities and mandate</w:t>
            </w:r>
            <w:r w:rsidR="005E5EA4" w:rsidRPr="0068437C">
              <w:t>s</w:t>
            </w:r>
          </w:p>
        </w:tc>
        <w:tc>
          <w:tcPr>
            <w:tcW w:w="2340" w:type="dxa"/>
          </w:tcPr>
          <w:p w:rsidR="00E145C3" w:rsidRPr="0068437C" w:rsidRDefault="00E145C3" w:rsidP="005E5EA4">
            <w:r w:rsidRPr="0068437C">
              <w:t>Only mentions the roles, responsibilities and mandate of LGs</w:t>
            </w:r>
          </w:p>
        </w:tc>
        <w:tc>
          <w:tcPr>
            <w:tcW w:w="4770" w:type="dxa"/>
          </w:tcPr>
          <w:p w:rsidR="00E145C3" w:rsidRPr="0068437C" w:rsidRDefault="0068437C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 xml:space="preserve">Expanded </w:t>
            </w:r>
            <w:r w:rsidR="00E145C3" w:rsidRPr="0068437C">
              <w:t>to include</w:t>
            </w:r>
            <w:r w:rsidR="00E145C3" w:rsidRPr="0068437C">
              <w:t xml:space="preserve"> roles, res</w:t>
            </w:r>
            <w:r w:rsidR="00E145C3" w:rsidRPr="0068437C">
              <w:t>ponsibilities and mandate of MDAs</w:t>
            </w:r>
          </w:p>
        </w:tc>
      </w:tr>
      <w:tr w:rsidR="00E145C3" w:rsidRPr="0068437C" w:rsidTr="0068437C">
        <w:tc>
          <w:tcPr>
            <w:tcW w:w="535" w:type="dxa"/>
          </w:tcPr>
          <w:p w:rsidR="00E145C3" w:rsidRPr="0068437C" w:rsidRDefault="00E145C3" w:rsidP="005E5E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</w:tcPr>
          <w:p w:rsidR="00E145C3" w:rsidRPr="0068437C" w:rsidRDefault="002C61C2" w:rsidP="005E5EA4">
            <w:r w:rsidRPr="0068437C">
              <w:t>Structure of the DDEG</w:t>
            </w:r>
          </w:p>
        </w:tc>
        <w:tc>
          <w:tcPr>
            <w:tcW w:w="2340" w:type="dxa"/>
          </w:tcPr>
          <w:p w:rsidR="00E145C3" w:rsidRPr="0068437C" w:rsidRDefault="002C61C2" w:rsidP="005E5EA4">
            <w:r w:rsidRPr="0068437C">
              <w:t>Shows the DDEG windows</w:t>
            </w:r>
          </w:p>
        </w:tc>
        <w:tc>
          <w:tcPr>
            <w:tcW w:w="4770" w:type="dxa"/>
          </w:tcPr>
          <w:p w:rsidR="00E145C3" w:rsidRPr="0068437C" w:rsidRDefault="00BA182E" w:rsidP="0068437C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  <w:r w:rsidR="002C61C2" w:rsidRPr="0068437C">
              <w:t>n a</w:t>
            </w:r>
            <w:r w:rsidR="002C61C2" w:rsidRPr="0068437C">
              <w:t>n</w:t>
            </w:r>
            <w:r w:rsidR="002C61C2" w:rsidRPr="0068437C">
              <w:t>nex showing LGs by DDEG Window</w:t>
            </w:r>
            <w:r>
              <w:t xml:space="preserve"> to be attached</w:t>
            </w:r>
          </w:p>
        </w:tc>
      </w:tr>
      <w:tr w:rsidR="00E145C3" w:rsidRPr="0068437C" w:rsidTr="0068437C">
        <w:tc>
          <w:tcPr>
            <w:tcW w:w="535" w:type="dxa"/>
          </w:tcPr>
          <w:p w:rsidR="00E145C3" w:rsidRPr="0068437C" w:rsidRDefault="00E145C3" w:rsidP="005E5E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</w:tcPr>
          <w:p w:rsidR="00E145C3" w:rsidRPr="0068437C" w:rsidRDefault="002C61C2" w:rsidP="005E5EA4">
            <w:r w:rsidRPr="0068437C">
              <w:t>Procedures and guidelines for allocating the DDEG</w:t>
            </w:r>
          </w:p>
        </w:tc>
        <w:tc>
          <w:tcPr>
            <w:tcW w:w="2340" w:type="dxa"/>
          </w:tcPr>
          <w:p w:rsidR="00E145C3" w:rsidRPr="0068437C" w:rsidRDefault="002C61C2" w:rsidP="0068437C">
            <w:r w:rsidRPr="0068437C">
              <w:t xml:space="preserve">Outlines the variables and weights </w:t>
            </w:r>
            <w:r w:rsidR="0068437C" w:rsidRPr="0068437C">
              <w:t xml:space="preserve">used to </w:t>
            </w:r>
            <w:r w:rsidRPr="0068437C">
              <w:t>allocat</w:t>
            </w:r>
            <w:r w:rsidR="0068437C" w:rsidRPr="0068437C">
              <w:t>e</w:t>
            </w:r>
            <w:r w:rsidRPr="0068437C">
              <w:t xml:space="preserve"> the DDEG across districts (</w:t>
            </w:r>
            <w:r w:rsidRPr="0068437C">
              <w:t>the basic</w:t>
            </w:r>
            <w:r w:rsidRPr="0068437C">
              <w:t xml:space="preserve"> </w:t>
            </w:r>
            <w:r w:rsidR="0068437C" w:rsidRPr="0068437C">
              <w:t xml:space="preserve">allocation </w:t>
            </w:r>
            <w:r w:rsidRPr="0068437C">
              <w:t>formula)</w:t>
            </w:r>
          </w:p>
        </w:tc>
        <w:tc>
          <w:tcPr>
            <w:tcW w:w="4770" w:type="dxa"/>
          </w:tcPr>
          <w:p w:rsidR="00E145C3" w:rsidRPr="0068437C" w:rsidRDefault="002C61C2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 xml:space="preserve">Added a section on how the DDEG is allocated across windows </w:t>
            </w:r>
            <w:r w:rsidRPr="0068437C">
              <w:t>to ensure that the affirm</w:t>
            </w:r>
            <w:r w:rsidR="0068437C" w:rsidRPr="0068437C">
              <w:t xml:space="preserve">ative action nature of PRDP &amp; </w:t>
            </w:r>
            <w:r w:rsidRPr="0068437C">
              <w:t>LRDP is maintained, and the World Bank loan supported funding of the USMID Municipalities can be retained</w:t>
            </w:r>
          </w:p>
          <w:p w:rsidR="002C61C2" w:rsidRPr="0068437C" w:rsidRDefault="002C61C2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>Added a section on how DDEG resources are a</w:t>
            </w:r>
            <w:r w:rsidRPr="0068437C">
              <w:t>llocat</w:t>
            </w:r>
            <w:r w:rsidRPr="0068437C">
              <w:t>ed between Higher and</w:t>
            </w:r>
            <w:r w:rsidRPr="0068437C">
              <w:t xml:space="preserve"> Lower Local Governments</w:t>
            </w:r>
          </w:p>
          <w:p w:rsidR="002C61C2" w:rsidRPr="0068437C" w:rsidRDefault="002C61C2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 xml:space="preserve">The </w:t>
            </w:r>
            <w:r w:rsidRPr="0068437C">
              <w:t>variables and weights for allocating the DDEG across districts (the basic formula)</w:t>
            </w:r>
            <w:r w:rsidRPr="0068437C">
              <w:t xml:space="preserve"> has been maintained – this will apply to 50% of the DDEG.</w:t>
            </w:r>
          </w:p>
          <w:p w:rsidR="002C61C2" w:rsidRPr="0068437C" w:rsidRDefault="002C61C2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 xml:space="preserve">Added and elaborated </w:t>
            </w:r>
            <w:r w:rsidRPr="0068437C">
              <w:t xml:space="preserve">the performance component </w:t>
            </w:r>
            <w:r w:rsidRPr="0068437C">
              <w:t xml:space="preserve">that will be used to allocate 50% of the DDEG </w:t>
            </w:r>
            <w:r w:rsidRPr="0068437C">
              <w:t>based on the results of the LG performance assessment, weighted by the basic allocation</w:t>
            </w:r>
          </w:p>
        </w:tc>
      </w:tr>
      <w:tr w:rsidR="00806E2F" w:rsidRPr="0068437C" w:rsidTr="0068437C">
        <w:tc>
          <w:tcPr>
            <w:tcW w:w="535" w:type="dxa"/>
          </w:tcPr>
          <w:p w:rsidR="00806E2F" w:rsidRPr="0068437C" w:rsidRDefault="00806E2F" w:rsidP="005E5E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</w:tcPr>
          <w:p w:rsidR="00806E2F" w:rsidRPr="0068437C" w:rsidRDefault="00806E2F" w:rsidP="005E5EA4">
            <w:r w:rsidRPr="0068437C">
              <w:t>Use of the DDEG</w:t>
            </w:r>
          </w:p>
        </w:tc>
        <w:tc>
          <w:tcPr>
            <w:tcW w:w="2340" w:type="dxa"/>
          </w:tcPr>
          <w:p w:rsidR="00806E2F" w:rsidRPr="0068437C" w:rsidRDefault="00806E2F" w:rsidP="0068437C">
            <w:r w:rsidRPr="0068437C">
              <w:t xml:space="preserve">Outlined the nature of activities to be implemented by the respective LGs </w:t>
            </w:r>
          </w:p>
        </w:tc>
        <w:tc>
          <w:tcPr>
            <w:tcW w:w="4770" w:type="dxa"/>
          </w:tcPr>
          <w:p w:rsidR="00806E2F" w:rsidRPr="0068437C" w:rsidRDefault="00806E2F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 xml:space="preserve">The </w:t>
            </w:r>
            <w:r w:rsidRPr="0068437C">
              <w:t>nature of activities to be imp</w:t>
            </w:r>
            <w:r w:rsidR="0068437C" w:rsidRPr="0068437C">
              <w:t xml:space="preserve">lemented by the respective LGs </w:t>
            </w:r>
            <w:r w:rsidRPr="0068437C">
              <w:t>remained the same.</w:t>
            </w:r>
          </w:p>
          <w:p w:rsidR="00806E2F" w:rsidRPr="0068437C" w:rsidRDefault="00806E2F" w:rsidP="0068437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  <w:bCs/>
                <w:color w:val="000000"/>
              </w:rPr>
            </w:pPr>
            <w:r w:rsidRPr="0068437C">
              <w:t xml:space="preserve">However </w:t>
            </w:r>
            <w:r w:rsidR="0068437C" w:rsidRPr="0068437C">
              <w:t xml:space="preserve">we have included </w:t>
            </w:r>
            <w:r w:rsidRPr="0068437C">
              <w:t>a requiremen</w:t>
            </w:r>
            <w:r w:rsidR="00BA182E">
              <w:t>t to allocate</w:t>
            </w:r>
            <w:r w:rsidRPr="0068437C">
              <w:t xml:space="preserve"> a minimum </w:t>
            </w:r>
            <w:r w:rsidR="00BA182E">
              <w:t xml:space="preserve">of </w:t>
            </w:r>
            <w:r w:rsidRPr="0068437C">
              <w:t>30% to</w:t>
            </w:r>
            <w:r w:rsidRPr="0068437C">
              <w:rPr>
                <w:rFonts w:eastAsia="Times New Roman" w:cs="Times New Roman"/>
                <w:bCs/>
                <w:color w:val="000000"/>
              </w:rPr>
              <w:t xml:space="preserve"> income generating and environment protection activities</w:t>
            </w:r>
          </w:p>
        </w:tc>
      </w:tr>
      <w:tr w:rsidR="00806E2F" w:rsidRPr="0068437C" w:rsidTr="0068437C">
        <w:tc>
          <w:tcPr>
            <w:tcW w:w="535" w:type="dxa"/>
          </w:tcPr>
          <w:p w:rsidR="00806E2F" w:rsidRPr="0068437C" w:rsidRDefault="00806E2F" w:rsidP="005E5E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</w:tcPr>
          <w:p w:rsidR="00806E2F" w:rsidRPr="0068437C" w:rsidRDefault="00806E2F" w:rsidP="005E5EA4">
            <w:r w:rsidRPr="0068437C">
              <w:t>Budgeting and implementation guidelines</w:t>
            </w:r>
          </w:p>
        </w:tc>
        <w:tc>
          <w:tcPr>
            <w:tcW w:w="2340" w:type="dxa"/>
          </w:tcPr>
          <w:p w:rsidR="00806E2F" w:rsidRPr="0068437C" w:rsidRDefault="00806E2F" w:rsidP="005E5EA4">
            <w:r w:rsidRPr="0068437C">
              <w:t>Not provided for</w:t>
            </w:r>
            <w:r w:rsidR="0068437C">
              <w:t xml:space="preserve"> in the 2017/18. </w:t>
            </w:r>
          </w:p>
        </w:tc>
        <w:tc>
          <w:tcPr>
            <w:tcW w:w="4770" w:type="dxa"/>
          </w:tcPr>
          <w:p w:rsidR="00806E2F" w:rsidRPr="0068437C" w:rsidRDefault="00806E2F" w:rsidP="0068437C">
            <w:r w:rsidRPr="0068437C">
              <w:t>Added four chapters to provi</w:t>
            </w:r>
            <w:r w:rsidR="0068437C">
              <w:t>de detailed guidelines on how LGs should</w:t>
            </w:r>
            <w:r w:rsidRPr="0068437C">
              <w:t xml:space="preserve"> budget and implement:</w:t>
            </w:r>
          </w:p>
          <w:p w:rsidR="00806E2F" w:rsidRPr="0068437C" w:rsidRDefault="00806E2F" w:rsidP="0068437C">
            <w:pPr>
              <w:pStyle w:val="ListParagraph"/>
              <w:numPr>
                <w:ilvl w:val="0"/>
                <w:numId w:val="5"/>
              </w:numPr>
              <w:rPr>
                <w:rFonts w:cs="Calibri"/>
              </w:rPr>
            </w:pPr>
            <w:r w:rsidRPr="0068437C">
              <w:t>I</w:t>
            </w:r>
            <w:r w:rsidR="00BA182E">
              <w:t>nfrastructure projects whilst incorporating</w:t>
            </w:r>
            <w:r w:rsidRPr="0068437C">
              <w:t xml:space="preserve"> </w:t>
            </w:r>
            <w:r w:rsidRPr="0068437C">
              <w:rPr>
                <w:rFonts w:cs="Calibri"/>
              </w:rPr>
              <w:t>e</w:t>
            </w:r>
            <w:r w:rsidRPr="0068437C">
              <w:rPr>
                <w:rFonts w:cs="Calibri"/>
              </w:rPr>
              <w:t>nvironmental and social safeguards</w:t>
            </w:r>
          </w:p>
          <w:p w:rsidR="00806E2F" w:rsidRPr="0068437C" w:rsidRDefault="00806E2F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>Income generating activities including eligible and ineligible activities;</w:t>
            </w:r>
          </w:p>
          <w:p w:rsidR="00806E2F" w:rsidRPr="0068437C" w:rsidRDefault="00806E2F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>Capacity development activities</w:t>
            </w:r>
          </w:p>
          <w:p w:rsidR="00806E2F" w:rsidRPr="0068437C" w:rsidRDefault="005E5EA4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>Monitoring activities by LGs</w:t>
            </w:r>
          </w:p>
        </w:tc>
      </w:tr>
      <w:tr w:rsidR="005E5EA4" w:rsidRPr="0068437C" w:rsidTr="0068437C">
        <w:tc>
          <w:tcPr>
            <w:tcW w:w="535" w:type="dxa"/>
          </w:tcPr>
          <w:p w:rsidR="005E5EA4" w:rsidRPr="0068437C" w:rsidRDefault="005E5EA4" w:rsidP="005E5EA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0" w:type="dxa"/>
          </w:tcPr>
          <w:p w:rsidR="005E5EA4" w:rsidRPr="0068437C" w:rsidRDefault="005E5EA4" w:rsidP="005E5EA4">
            <w:r w:rsidRPr="0068437C">
              <w:t>Reporting and monitoring DDEG</w:t>
            </w:r>
          </w:p>
        </w:tc>
        <w:tc>
          <w:tcPr>
            <w:tcW w:w="2340" w:type="dxa"/>
          </w:tcPr>
          <w:p w:rsidR="005E5EA4" w:rsidRPr="0068437C" w:rsidRDefault="005E5EA4" w:rsidP="005E5EA4">
            <w:r w:rsidRPr="0068437C">
              <w:t>Not provided for</w:t>
            </w:r>
            <w:r w:rsidR="0068437C">
              <w:t xml:space="preserve"> in 2017/18</w:t>
            </w:r>
          </w:p>
        </w:tc>
        <w:tc>
          <w:tcPr>
            <w:tcW w:w="4770" w:type="dxa"/>
          </w:tcPr>
          <w:p w:rsidR="005E5EA4" w:rsidRPr="0068437C" w:rsidRDefault="005E5EA4" w:rsidP="0068437C">
            <w:pPr>
              <w:pStyle w:val="ListParagraph"/>
              <w:numPr>
                <w:ilvl w:val="0"/>
                <w:numId w:val="5"/>
              </w:numPr>
            </w:pPr>
            <w:r w:rsidRPr="0068437C">
              <w:t>Added a section outlining how LGs should report and how MD</w:t>
            </w:r>
            <w:r w:rsidR="0068437C">
              <w:t xml:space="preserve">As should assess compliance &amp; </w:t>
            </w:r>
            <w:r w:rsidRPr="0068437C">
              <w:t>provide support to LGs</w:t>
            </w:r>
          </w:p>
        </w:tc>
      </w:tr>
    </w:tbl>
    <w:p w:rsidR="005E5EA4" w:rsidRDefault="005E5EA4" w:rsidP="0068437C">
      <w:bookmarkStart w:id="8" w:name="_GoBack"/>
      <w:bookmarkEnd w:id="8"/>
    </w:p>
    <w:sectPr w:rsidR="005E5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73" w:rsidRDefault="008F7D73" w:rsidP="00E145C3">
      <w:pPr>
        <w:spacing w:after="0" w:line="240" w:lineRule="auto"/>
      </w:pPr>
      <w:r>
        <w:separator/>
      </w:r>
    </w:p>
  </w:endnote>
  <w:endnote w:type="continuationSeparator" w:id="0">
    <w:p w:rsidR="008F7D73" w:rsidRDefault="008F7D73" w:rsidP="00E1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73" w:rsidRDefault="008F7D73" w:rsidP="00E145C3">
      <w:pPr>
        <w:spacing w:after="0" w:line="240" w:lineRule="auto"/>
      </w:pPr>
      <w:r>
        <w:separator/>
      </w:r>
    </w:p>
  </w:footnote>
  <w:footnote w:type="continuationSeparator" w:id="0">
    <w:p w:rsidR="008F7D73" w:rsidRDefault="008F7D73" w:rsidP="00E14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D6262"/>
    <w:multiLevelType w:val="hybridMultilevel"/>
    <w:tmpl w:val="1042187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4106A"/>
    <w:multiLevelType w:val="multilevel"/>
    <w:tmpl w:val="B054013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7A5D59"/>
    <w:multiLevelType w:val="hybridMultilevel"/>
    <w:tmpl w:val="EEA60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9876AC"/>
    <w:multiLevelType w:val="hybridMultilevel"/>
    <w:tmpl w:val="123E4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02405"/>
    <w:multiLevelType w:val="hybridMultilevel"/>
    <w:tmpl w:val="2836E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C3"/>
    <w:rsid w:val="001002DE"/>
    <w:rsid w:val="002C61C2"/>
    <w:rsid w:val="005440FF"/>
    <w:rsid w:val="005E5EA4"/>
    <w:rsid w:val="0068437C"/>
    <w:rsid w:val="00806E2F"/>
    <w:rsid w:val="008F7D73"/>
    <w:rsid w:val="00BA182E"/>
    <w:rsid w:val="00D805E0"/>
    <w:rsid w:val="00E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F7010-49F7-4847-84F9-D5D8DB72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List Paragraph1,Ha,Indent Paragraph,Table/Figure Heading,Scriptoria bullet points,Resume Title,Citation List,heading 4,List Bullet Mary,Akapit z listą BS,List Paragraph 1,List_Paragraph,Multilevel para_II,H"/>
    <w:basedOn w:val="Normal"/>
    <w:link w:val="ListParagraphChar"/>
    <w:uiPriority w:val="34"/>
    <w:qFormat/>
    <w:rsid w:val="00E14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C3"/>
  </w:style>
  <w:style w:type="paragraph" w:styleId="Footer">
    <w:name w:val="footer"/>
    <w:basedOn w:val="Normal"/>
    <w:link w:val="FooterChar"/>
    <w:uiPriority w:val="99"/>
    <w:unhideWhenUsed/>
    <w:rsid w:val="00E14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C3"/>
  </w:style>
  <w:style w:type="character" w:customStyle="1" w:styleId="Heading1Char">
    <w:name w:val="Heading 1 Char"/>
    <w:basedOn w:val="DefaultParagraphFont"/>
    <w:link w:val="Heading1"/>
    <w:uiPriority w:val="9"/>
    <w:rsid w:val="00E145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ListParagraphChar">
    <w:name w:val="List Paragraph Char"/>
    <w:aliases w:val="List Paragraph (numbered (a)) Char,List Paragraph1 Char,Ha Char,Indent Paragraph Char,Table/Figure Heading Char,Scriptoria bullet points Char,Resume Title Char,Citation List Char,heading 4 Char,List Bullet Mary Char,H Char"/>
    <w:basedOn w:val="DefaultParagraphFont"/>
    <w:link w:val="ListParagraph"/>
    <w:uiPriority w:val="34"/>
    <w:qFormat/>
    <w:locked/>
    <w:rsid w:val="005E5EA4"/>
  </w:style>
  <w:style w:type="paragraph" w:styleId="BalloonText">
    <w:name w:val="Balloon Text"/>
    <w:basedOn w:val="Normal"/>
    <w:link w:val="BalloonTextChar"/>
    <w:uiPriority w:val="99"/>
    <w:semiHidden/>
    <w:unhideWhenUsed/>
    <w:rsid w:val="0068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2</cp:revision>
  <cp:lastPrinted>2017-08-16T05:07:00Z</cp:lastPrinted>
  <dcterms:created xsi:type="dcterms:W3CDTF">2017-08-16T04:18:00Z</dcterms:created>
  <dcterms:modified xsi:type="dcterms:W3CDTF">2017-08-16T05:16:00Z</dcterms:modified>
</cp:coreProperties>
</file>