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24" w:rsidRDefault="002F7024" w:rsidP="002F7024">
      <w:pPr>
        <w:pStyle w:val="BodyText"/>
        <w:ind w:right="-432"/>
        <w:rPr>
          <w:b/>
          <w:sz w:val="27"/>
          <w:szCs w:val="27"/>
        </w:rPr>
      </w:pPr>
    </w:p>
    <w:p w:rsidR="0033608D" w:rsidRPr="00E41554" w:rsidRDefault="0033608D" w:rsidP="002F7024">
      <w:pPr>
        <w:pStyle w:val="BodyText"/>
        <w:ind w:right="-432"/>
        <w:rPr>
          <w:b/>
          <w:sz w:val="27"/>
          <w:szCs w:val="27"/>
        </w:rPr>
      </w:pPr>
    </w:p>
    <w:p w:rsidR="002F7024" w:rsidRPr="00DF383B" w:rsidRDefault="0041122F" w:rsidP="00DF383B">
      <w:pPr>
        <w:pStyle w:val="BodyText"/>
        <w:ind w:left="1440" w:firstLine="720"/>
        <w:rPr>
          <w:b/>
          <w:sz w:val="20"/>
          <w:szCs w:val="20"/>
        </w:rPr>
      </w:pPr>
      <w:r>
        <w:rPr>
          <w:b/>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7pt;margin-top:.9pt;width:84.55pt;height:99.65pt;z-index:251659264;visibility:visible;mso-wrap-edited:f" o:allowincell="f">
            <v:imagedata r:id="rId8" o:title=""/>
            <w10:wrap type="topAndBottom"/>
          </v:shape>
          <o:OLEObject Type="Embed" ProgID="Word.Picture.8" ShapeID="_x0000_s1026" DrawAspect="Content" ObjectID="_1443411767" r:id="rId9"/>
        </w:pict>
      </w:r>
      <w:r w:rsidR="00DF383B">
        <w:rPr>
          <w:sz w:val="20"/>
          <w:szCs w:val="20"/>
        </w:rPr>
        <w:t xml:space="preserve">         </w:t>
      </w:r>
      <w:r w:rsidR="002F7024" w:rsidRPr="00DF383B">
        <w:rPr>
          <w:sz w:val="20"/>
          <w:szCs w:val="20"/>
        </w:rPr>
        <w:t>THE REPUBLIC OF UGANDA</w:t>
      </w:r>
    </w:p>
    <w:p w:rsidR="002F7024" w:rsidRPr="00E41554" w:rsidRDefault="002F7024" w:rsidP="002F7024">
      <w:pPr>
        <w:pStyle w:val="BodyText"/>
        <w:rPr>
          <w:b/>
          <w:sz w:val="27"/>
          <w:szCs w:val="27"/>
        </w:rPr>
      </w:pPr>
    </w:p>
    <w:p w:rsidR="002F7024" w:rsidRDefault="002F7024" w:rsidP="002F7024">
      <w:pPr>
        <w:pStyle w:val="BodyText"/>
        <w:rPr>
          <w:b/>
          <w:sz w:val="27"/>
          <w:szCs w:val="27"/>
        </w:rPr>
      </w:pPr>
    </w:p>
    <w:p w:rsidR="0033608D" w:rsidRPr="00E41554" w:rsidRDefault="0033608D" w:rsidP="002F7024">
      <w:pPr>
        <w:pStyle w:val="BodyText"/>
        <w:rPr>
          <w:b/>
          <w:sz w:val="27"/>
          <w:szCs w:val="27"/>
        </w:rPr>
      </w:pPr>
    </w:p>
    <w:p w:rsidR="002F7024" w:rsidRPr="00E41554" w:rsidRDefault="002F7024" w:rsidP="002F7024">
      <w:pPr>
        <w:pStyle w:val="BodyText"/>
        <w:jc w:val="center"/>
        <w:rPr>
          <w:b/>
          <w:sz w:val="27"/>
          <w:szCs w:val="27"/>
        </w:rPr>
      </w:pPr>
      <w:r w:rsidRPr="00E41554">
        <w:rPr>
          <w:b/>
          <w:sz w:val="27"/>
          <w:szCs w:val="27"/>
        </w:rPr>
        <w:t>MINISTRY OF AGRICULTURE, ANIMAL INDUSTRY AND FISHERIES</w:t>
      </w:r>
    </w:p>
    <w:p w:rsidR="002F7024" w:rsidRPr="00E41554" w:rsidRDefault="002F7024" w:rsidP="002F7024">
      <w:pPr>
        <w:pStyle w:val="BodyText"/>
        <w:rPr>
          <w:b/>
          <w:sz w:val="27"/>
          <w:szCs w:val="27"/>
        </w:rPr>
      </w:pPr>
    </w:p>
    <w:p w:rsidR="002F7024" w:rsidRPr="00E41554" w:rsidRDefault="002F7024" w:rsidP="002F7024">
      <w:pPr>
        <w:pStyle w:val="BodyText"/>
        <w:rPr>
          <w:b/>
          <w:sz w:val="27"/>
          <w:szCs w:val="27"/>
        </w:rPr>
      </w:pPr>
    </w:p>
    <w:p w:rsidR="002F7024" w:rsidRDefault="002F7024" w:rsidP="002F7024">
      <w:pPr>
        <w:pStyle w:val="BodyText"/>
        <w:rPr>
          <w:b/>
          <w:sz w:val="27"/>
          <w:szCs w:val="27"/>
        </w:rPr>
      </w:pPr>
    </w:p>
    <w:p w:rsidR="0033608D" w:rsidRDefault="0033608D" w:rsidP="002F7024">
      <w:pPr>
        <w:pStyle w:val="BodyText"/>
        <w:rPr>
          <w:b/>
          <w:sz w:val="27"/>
          <w:szCs w:val="27"/>
        </w:rPr>
      </w:pPr>
    </w:p>
    <w:p w:rsidR="0033608D" w:rsidRDefault="0033608D" w:rsidP="002F7024">
      <w:pPr>
        <w:pStyle w:val="BodyText"/>
        <w:rPr>
          <w:b/>
          <w:sz w:val="27"/>
          <w:szCs w:val="27"/>
        </w:rPr>
      </w:pPr>
    </w:p>
    <w:p w:rsidR="0033608D" w:rsidRDefault="0033608D" w:rsidP="002F7024">
      <w:pPr>
        <w:pStyle w:val="BodyText"/>
        <w:rPr>
          <w:b/>
          <w:sz w:val="27"/>
          <w:szCs w:val="27"/>
        </w:rPr>
      </w:pPr>
    </w:p>
    <w:p w:rsidR="0033608D" w:rsidRPr="00E41554" w:rsidRDefault="0033608D" w:rsidP="002F7024">
      <w:pPr>
        <w:pStyle w:val="BodyText"/>
        <w:rPr>
          <w:b/>
          <w:sz w:val="27"/>
          <w:szCs w:val="27"/>
        </w:rPr>
      </w:pPr>
    </w:p>
    <w:p w:rsidR="002F7024" w:rsidRPr="00E41554" w:rsidRDefault="002F7024" w:rsidP="002F7024">
      <w:pPr>
        <w:pStyle w:val="BodyText"/>
        <w:jc w:val="center"/>
        <w:rPr>
          <w:b/>
          <w:i/>
          <w:sz w:val="27"/>
          <w:szCs w:val="27"/>
        </w:rPr>
      </w:pPr>
    </w:p>
    <w:p w:rsidR="0033608D" w:rsidRPr="0033608D" w:rsidRDefault="0033608D" w:rsidP="0033608D">
      <w:pPr>
        <w:autoSpaceDE w:val="0"/>
        <w:autoSpaceDN w:val="0"/>
        <w:adjustRightInd w:val="0"/>
        <w:spacing w:before="20"/>
        <w:jc w:val="center"/>
        <w:rPr>
          <w:b/>
          <w:sz w:val="28"/>
          <w:szCs w:val="28"/>
        </w:rPr>
      </w:pPr>
      <w:r w:rsidRPr="0033608D">
        <w:rPr>
          <w:b/>
          <w:bCs/>
          <w:sz w:val="28"/>
          <w:szCs w:val="28"/>
        </w:rPr>
        <w:t>Local Government Budget Framework Paper FY2014/15 Preparation Workshops</w:t>
      </w:r>
    </w:p>
    <w:p w:rsidR="0033608D" w:rsidRPr="0033608D" w:rsidRDefault="0033608D" w:rsidP="0033608D">
      <w:pPr>
        <w:autoSpaceDE w:val="0"/>
        <w:autoSpaceDN w:val="0"/>
        <w:adjustRightInd w:val="0"/>
        <w:spacing w:before="20"/>
        <w:jc w:val="center"/>
        <w:rPr>
          <w:b/>
          <w:sz w:val="28"/>
          <w:szCs w:val="28"/>
        </w:rPr>
      </w:pPr>
      <w:r w:rsidRPr="0033608D">
        <w:rPr>
          <w:b/>
          <w:bCs/>
          <w:i/>
          <w:iCs/>
          <w:sz w:val="28"/>
          <w:szCs w:val="28"/>
          <w:lang w:val="en-GB"/>
        </w:rPr>
        <w:t>‘‘Implementation of the Commodity Approach, Promotion of Research/Advisory Interface (ATAAS) and Framework Implementation Plans for Non-ATAAS’’</w:t>
      </w:r>
    </w:p>
    <w:p w:rsidR="0033608D" w:rsidRPr="0033608D" w:rsidRDefault="0033608D" w:rsidP="0033608D">
      <w:pPr>
        <w:autoSpaceDE w:val="0"/>
        <w:autoSpaceDN w:val="0"/>
        <w:adjustRightInd w:val="0"/>
        <w:spacing w:before="20"/>
        <w:jc w:val="center"/>
        <w:rPr>
          <w:b/>
          <w:sz w:val="27"/>
          <w:szCs w:val="27"/>
        </w:rPr>
      </w:pPr>
    </w:p>
    <w:p w:rsidR="002F7024" w:rsidRPr="00E41554" w:rsidRDefault="002F7024" w:rsidP="002F7024">
      <w:pPr>
        <w:autoSpaceDE w:val="0"/>
        <w:autoSpaceDN w:val="0"/>
        <w:adjustRightInd w:val="0"/>
        <w:spacing w:before="20"/>
        <w:jc w:val="both"/>
        <w:rPr>
          <w:b/>
          <w:sz w:val="27"/>
          <w:szCs w:val="27"/>
        </w:rPr>
      </w:pPr>
    </w:p>
    <w:p w:rsidR="002F7024" w:rsidRPr="00E41554" w:rsidRDefault="002F7024" w:rsidP="002F7024">
      <w:pPr>
        <w:pStyle w:val="BodyText"/>
        <w:ind w:left="1440" w:firstLine="720"/>
        <w:rPr>
          <w:i/>
          <w:sz w:val="27"/>
          <w:szCs w:val="27"/>
        </w:rPr>
      </w:pPr>
    </w:p>
    <w:p w:rsidR="002F7024" w:rsidRPr="00E41554" w:rsidRDefault="002F7024" w:rsidP="002F7024">
      <w:pPr>
        <w:pStyle w:val="BodyText"/>
        <w:ind w:left="1440" w:firstLine="720"/>
        <w:rPr>
          <w:i/>
          <w:sz w:val="27"/>
          <w:szCs w:val="27"/>
        </w:rPr>
      </w:pPr>
    </w:p>
    <w:p w:rsidR="002F7024" w:rsidRPr="00E41554" w:rsidRDefault="002F7024" w:rsidP="002F7024">
      <w:pPr>
        <w:pStyle w:val="BodyText"/>
        <w:ind w:left="1440" w:firstLine="720"/>
        <w:rPr>
          <w:i/>
          <w:sz w:val="27"/>
          <w:szCs w:val="27"/>
        </w:rPr>
      </w:pPr>
    </w:p>
    <w:p w:rsidR="002F7024" w:rsidRPr="00E41554" w:rsidRDefault="002F7024" w:rsidP="002F7024">
      <w:pPr>
        <w:pStyle w:val="BodyText"/>
        <w:ind w:left="1440" w:firstLine="720"/>
        <w:rPr>
          <w:i/>
          <w:sz w:val="27"/>
          <w:szCs w:val="27"/>
        </w:rPr>
      </w:pPr>
    </w:p>
    <w:p w:rsidR="002F7024" w:rsidRPr="00E41554" w:rsidRDefault="002F7024" w:rsidP="002F7024">
      <w:pPr>
        <w:pStyle w:val="BodyText"/>
        <w:ind w:left="1440" w:firstLine="720"/>
        <w:rPr>
          <w:spacing w:val="-2"/>
          <w:sz w:val="27"/>
          <w:szCs w:val="27"/>
        </w:rPr>
      </w:pPr>
    </w:p>
    <w:p w:rsidR="002F7024" w:rsidRDefault="002F7024" w:rsidP="002F7024">
      <w:pPr>
        <w:pStyle w:val="BodyText"/>
        <w:ind w:left="1440" w:firstLine="720"/>
        <w:rPr>
          <w:spacing w:val="-2"/>
          <w:sz w:val="27"/>
          <w:szCs w:val="27"/>
        </w:rPr>
      </w:pPr>
    </w:p>
    <w:p w:rsidR="00E23451" w:rsidRDefault="00E23451" w:rsidP="002F7024">
      <w:pPr>
        <w:pStyle w:val="BodyText"/>
        <w:ind w:left="1440" w:firstLine="720"/>
        <w:rPr>
          <w:spacing w:val="-2"/>
          <w:sz w:val="27"/>
          <w:szCs w:val="27"/>
        </w:rPr>
      </w:pPr>
    </w:p>
    <w:p w:rsidR="00E23451" w:rsidRDefault="00E23451" w:rsidP="002F7024">
      <w:pPr>
        <w:pStyle w:val="BodyText"/>
        <w:ind w:left="1440" w:firstLine="720"/>
        <w:rPr>
          <w:spacing w:val="-2"/>
          <w:sz w:val="27"/>
          <w:szCs w:val="27"/>
        </w:rPr>
      </w:pPr>
    </w:p>
    <w:p w:rsidR="00E23451" w:rsidRDefault="00E23451" w:rsidP="002F7024">
      <w:pPr>
        <w:pStyle w:val="BodyText"/>
        <w:ind w:left="1440" w:firstLine="720"/>
        <w:rPr>
          <w:spacing w:val="-2"/>
          <w:sz w:val="27"/>
          <w:szCs w:val="27"/>
        </w:rPr>
      </w:pPr>
    </w:p>
    <w:p w:rsidR="00E23451" w:rsidRDefault="00E23451" w:rsidP="002F7024">
      <w:pPr>
        <w:pStyle w:val="BodyText"/>
        <w:ind w:left="1440" w:firstLine="720"/>
        <w:rPr>
          <w:spacing w:val="-2"/>
          <w:sz w:val="27"/>
          <w:szCs w:val="27"/>
        </w:rPr>
      </w:pPr>
    </w:p>
    <w:p w:rsidR="00E23451" w:rsidRDefault="00E23451" w:rsidP="002F7024">
      <w:pPr>
        <w:pStyle w:val="BodyText"/>
        <w:ind w:left="1440" w:firstLine="720"/>
        <w:rPr>
          <w:spacing w:val="-2"/>
          <w:sz w:val="27"/>
          <w:szCs w:val="27"/>
        </w:rPr>
      </w:pPr>
    </w:p>
    <w:p w:rsidR="00E23451" w:rsidRDefault="00E23451" w:rsidP="002F7024">
      <w:pPr>
        <w:pStyle w:val="BodyText"/>
        <w:ind w:left="1440" w:firstLine="720"/>
        <w:rPr>
          <w:spacing w:val="-2"/>
          <w:sz w:val="27"/>
          <w:szCs w:val="27"/>
        </w:rPr>
      </w:pPr>
    </w:p>
    <w:p w:rsidR="002F7024" w:rsidRPr="00E41554" w:rsidRDefault="002F7024" w:rsidP="002F7024">
      <w:pPr>
        <w:pStyle w:val="BodyText"/>
        <w:rPr>
          <w:sz w:val="27"/>
          <w:szCs w:val="27"/>
        </w:rPr>
      </w:pPr>
      <w:r w:rsidRPr="00E41554">
        <w:rPr>
          <w:sz w:val="27"/>
          <w:szCs w:val="27"/>
        </w:rPr>
        <w:t>OCTOBER, 2013</w:t>
      </w:r>
    </w:p>
    <w:p w:rsidR="002F7024" w:rsidRPr="00E41554" w:rsidRDefault="002F7024" w:rsidP="002F7024">
      <w:pPr>
        <w:pStyle w:val="BodyText"/>
        <w:rPr>
          <w:sz w:val="27"/>
          <w:szCs w:val="27"/>
        </w:rPr>
      </w:pPr>
      <w:r w:rsidRPr="00E41554">
        <w:rPr>
          <w:sz w:val="27"/>
          <w:szCs w:val="27"/>
        </w:rPr>
        <w:t>KAMPALA</w:t>
      </w:r>
    </w:p>
    <w:p w:rsidR="002F7024" w:rsidRPr="00E41554" w:rsidRDefault="002F7024" w:rsidP="002F7024">
      <w:pPr>
        <w:pStyle w:val="BodyText"/>
        <w:ind w:right="-432"/>
        <w:rPr>
          <w:b/>
          <w:sz w:val="27"/>
          <w:szCs w:val="27"/>
        </w:rPr>
      </w:pPr>
    </w:p>
    <w:p w:rsidR="002F7024" w:rsidRPr="00E41554" w:rsidRDefault="002F7024" w:rsidP="002F7024">
      <w:pPr>
        <w:pStyle w:val="BodyText"/>
        <w:ind w:right="-432"/>
        <w:rPr>
          <w:b/>
          <w:sz w:val="27"/>
          <w:szCs w:val="27"/>
        </w:rPr>
      </w:pPr>
    </w:p>
    <w:p w:rsidR="002F7024" w:rsidRPr="00E41554" w:rsidRDefault="002F7024" w:rsidP="002F7024">
      <w:pPr>
        <w:pStyle w:val="BodyText"/>
        <w:ind w:right="-432"/>
        <w:rPr>
          <w:b/>
          <w:sz w:val="27"/>
          <w:szCs w:val="27"/>
        </w:rPr>
      </w:pPr>
    </w:p>
    <w:p w:rsidR="00D76B32" w:rsidRPr="00E41554" w:rsidRDefault="00D76B32" w:rsidP="002F7024">
      <w:pPr>
        <w:pStyle w:val="BodyText"/>
        <w:ind w:right="-432"/>
        <w:rPr>
          <w:b/>
          <w:sz w:val="27"/>
          <w:szCs w:val="27"/>
        </w:rPr>
      </w:pPr>
      <w:r w:rsidRPr="00E41554">
        <w:rPr>
          <w:b/>
          <w:sz w:val="27"/>
          <w:szCs w:val="27"/>
        </w:rPr>
        <w:lastRenderedPageBreak/>
        <w:t>CONTENTS OF THE PRESENTATION</w:t>
      </w:r>
    </w:p>
    <w:p w:rsidR="00D76B32" w:rsidRPr="00E41554" w:rsidRDefault="00D76B32" w:rsidP="002F7024">
      <w:pPr>
        <w:pStyle w:val="BodyText"/>
        <w:ind w:right="-432"/>
        <w:rPr>
          <w:b/>
          <w:sz w:val="27"/>
          <w:szCs w:val="27"/>
        </w:rPr>
      </w:pPr>
    </w:p>
    <w:p w:rsidR="00D76B32" w:rsidRPr="00E41554" w:rsidRDefault="00D76B32" w:rsidP="00D76B32">
      <w:pPr>
        <w:pStyle w:val="BodyText"/>
        <w:numPr>
          <w:ilvl w:val="0"/>
          <w:numId w:val="15"/>
        </w:numPr>
        <w:ind w:right="-432"/>
        <w:rPr>
          <w:sz w:val="27"/>
          <w:szCs w:val="27"/>
        </w:rPr>
      </w:pPr>
      <w:r w:rsidRPr="00E41554">
        <w:rPr>
          <w:sz w:val="27"/>
          <w:szCs w:val="27"/>
        </w:rPr>
        <w:t>Introduction</w:t>
      </w:r>
    </w:p>
    <w:p w:rsidR="00D76B32" w:rsidRPr="00E41554" w:rsidRDefault="00D76B32" w:rsidP="00D76B32">
      <w:pPr>
        <w:pStyle w:val="BodyText"/>
        <w:numPr>
          <w:ilvl w:val="0"/>
          <w:numId w:val="15"/>
        </w:numPr>
        <w:ind w:right="-432"/>
        <w:rPr>
          <w:sz w:val="27"/>
          <w:szCs w:val="27"/>
        </w:rPr>
      </w:pPr>
      <w:r w:rsidRPr="00E41554">
        <w:rPr>
          <w:sz w:val="27"/>
          <w:szCs w:val="27"/>
        </w:rPr>
        <w:t xml:space="preserve">Highlights of the </w:t>
      </w:r>
      <w:r w:rsidR="007F4E75" w:rsidRPr="00E41554">
        <w:rPr>
          <w:sz w:val="27"/>
          <w:szCs w:val="27"/>
        </w:rPr>
        <w:t>A</w:t>
      </w:r>
      <w:r w:rsidRPr="00E41554">
        <w:rPr>
          <w:sz w:val="27"/>
          <w:szCs w:val="27"/>
        </w:rPr>
        <w:t xml:space="preserve">griculture </w:t>
      </w:r>
      <w:r w:rsidR="007F4E75" w:rsidRPr="00E41554">
        <w:rPr>
          <w:sz w:val="27"/>
          <w:szCs w:val="27"/>
        </w:rPr>
        <w:t>S</w:t>
      </w:r>
      <w:r w:rsidRPr="00E41554">
        <w:rPr>
          <w:sz w:val="27"/>
          <w:szCs w:val="27"/>
        </w:rPr>
        <w:t xml:space="preserve">ector </w:t>
      </w:r>
      <w:r w:rsidR="007F4E75" w:rsidRPr="00E41554">
        <w:rPr>
          <w:sz w:val="27"/>
          <w:szCs w:val="27"/>
        </w:rPr>
        <w:t>C</w:t>
      </w:r>
      <w:r w:rsidRPr="00E41554">
        <w:rPr>
          <w:sz w:val="27"/>
          <w:szCs w:val="27"/>
        </w:rPr>
        <w:t xml:space="preserve">onditional </w:t>
      </w:r>
      <w:r w:rsidR="007F4E75" w:rsidRPr="00E41554">
        <w:rPr>
          <w:sz w:val="27"/>
          <w:szCs w:val="27"/>
        </w:rPr>
        <w:t>G</w:t>
      </w:r>
      <w:r w:rsidRPr="00E41554">
        <w:rPr>
          <w:sz w:val="27"/>
          <w:szCs w:val="27"/>
        </w:rPr>
        <w:t>rant utilization agreement for financial year 2014 – 2015 between fisheries and local governments</w:t>
      </w:r>
    </w:p>
    <w:p w:rsidR="00D76B32" w:rsidRPr="00E41554" w:rsidRDefault="00D76B32" w:rsidP="00D76B32">
      <w:pPr>
        <w:pStyle w:val="ListParagraph"/>
        <w:numPr>
          <w:ilvl w:val="0"/>
          <w:numId w:val="15"/>
        </w:numPr>
        <w:jc w:val="both"/>
        <w:rPr>
          <w:rFonts w:cs="Times New Roman"/>
          <w:bCs/>
          <w:sz w:val="27"/>
          <w:szCs w:val="27"/>
        </w:rPr>
      </w:pPr>
      <w:r w:rsidRPr="00E41554">
        <w:rPr>
          <w:rFonts w:cs="Times New Roman"/>
          <w:bCs/>
          <w:sz w:val="27"/>
          <w:szCs w:val="27"/>
        </w:rPr>
        <w:t>R</w:t>
      </w:r>
      <w:r w:rsidR="00FC4AE9" w:rsidRPr="00E41554">
        <w:rPr>
          <w:rFonts w:cs="Times New Roman"/>
          <w:bCs/>
          <w:sz w:val="27"/>
          <w:szCs w:val="27"/>
        </w:rPr>
        <w:t>esponse</w:t>
      </w:r>
      <w:r w:rsidRPr="00E41554">
        <w:rPr>
          <w:rFonts w:cs="Times New Roman"/>
          <w:bCs/>
          <w:sz w:val="27"/>
          <w:szCs w:val="27"/>
        </w:rPr>
        <w:t xml:space="preserve"> to the questions raised in LGBFP 2011/12 (note that there were no budget workshops in the preparation of the budget for FY 2012/13)</w:t>
      </w:r>
    </w:p>
    <w:p w:rsidR="00D76B32" w:rsidRPr="00E41554" w:rsidRDefault="00D76B32" w:rsidP="00D76B32">
      <w:pPr>
        <w:pStyle w:val="BodyText"/>
        <w:numPr>
          <w:ilvl w:val="0"/>
          <w:numId w:val="15"/>
        </w:numPr>
        <w:ind w:right="-432"/>
        <w:rPr>
          <w:sz w:val="27"/>
          <w:szCs w:val="27"/>
        </w:rPr>
      </w:pPr>
      <w:r w:rsidRPr="00E41554">
        <w:rPr>
          <w:sz w:val="27"/>
          <w:szCs w:val="27"/>
        </w:rPr>
        <w:t>formula allocation and parameters for the FY 2014/15</w:t>
      </w:r>
    </w:p>
    <w:p w:rsidR="00D76B32" w:rsidRPr="00E23451" w:rsidRDefault="00432C8B" w:rsidP="00E23451">
      <w:pPr>
        <w:pStyle w:val="Heading1"/>
        <w:rPr>
          <w:rFonts w:ascii="Times New Roman" w:hAnsi="Times New Roman" w:cs="Times New Roman"/>
          <w:color w:val="auto"/>
        </w:rPr>
      </w:pPr>
      <w:r w:rsidRPr="00E23451">
        <w:rPr>
          <w:rFonts w:ascii="Times New Roman" w:hAnsi="Times New Roman" w:cs="Times New Roman"/>
          <w:color w:val="auto"/>
        </w:rPr>
        <w:t>1.0</w:t>
      </w:r>
      <w:r w:rsidRPr="00E23451">
        <w:rPr>
          <w:rFonts w:ascii="Times New Roman" w:hAnsi="Times New Roman" w:cs="Times New Roman"/>
          <w:color w:val="auto"/>
        </w:rPr>
        <w:tab/>
      </w:r>
      <w:r w:rsidR="00E23451" w:rsidRPr="00E23451">
        <w:rPr>
          <w:color w:val="auto"/>
        </w:rPr>
        <w:t>INTRODUCTION</w:t>
      </w:r>
    </w:p>
    <w:p w:rsidR="00E23451" w:rsidRDefault="00E23451" w:rsidP="00D76B32">
      <w:pPr>
        <w:jc w:val="both"/>
        <w:rPr>
          <w:sz w:val="27"/>
          <w:szCs w:val="27"/>
        </w:rPr>
      </w:pPr>
    </w:p>
    <w:p w:rsidR="00D76B32" w:rsidRPr="00E41554" w:rsidRDefault="00D76B32" w:rsidP="00D76B32">
      <w:pPr>
        <w:jc w:val="both"/>
        <w:rPr>
          <w:sz w:val="27"/>
          <w:szCs w:val="27"/>
        </w:rPr>
      </w:pPr>
      <w:r w:rsidRPr="00E41554">
        <w:rPr>
          <w:sz w:val="27"/>
          <w:szCs w:val="27"/>
        </w:rPr>
        <w:t>There are two (2) grants being implemented by the Local Governments in the Agriculture Sector.</w:t>
      </w:r>
    </w:p>
    <w:p w:rsidR="00D76B32" w:rsidRPr="00E41554" w:rsidRDefault="00D76B32" w:rsidP="00D76B32">
      <w:pPr>
        <w:pStyle w:val="ListParagraph"/>
        <w:numPr>
          <w:ilvl w:val="0"/>
          <w:numId w:val="14"/>
        </w:numPr>
        <w:contextualSpacing/>
        <w:jc w:val="both"/>
        <w:rPr>
          <w:rFonts w:cs="Times New Roman"/>
          <w:sz w:val="27"/>
          <w:szCs w:val="27"/>
        </w:rPr>
      </w:pPr>
      <w:r w:rsidRPr="00E41554">
        <w:rPr>
          <w:rFonts w:cs="Times New Roman"/>
          <w:sz w:val="27"/>
          <w:szCs w:val="27"/>
        </w:rPr>
        <w:t xml:space="preserve">These are: Production and Marketing Grant (PMG) </w:t>
      </w:r>
    </w:p>
    <w:p w:rsidR="00D76B32" w:rsidRPr="00E41554" w:rsidRDefault="00D76B32" w:rsidP="00D76B32">
      <w:pPr>
        <w:pStyle w:val="ListParagraph"/>
        <w:numPr>
          <w:ilvl w:val="0"/>
          <w:numId w:val="14"/>
        </w:numPr>
        <w:contextualSpacing/>
        <w:jc w:val="both"/>
        <w:rPr>
          <w:rFonts w:cs="Times New Roman"/>
          <w:sz w:val="27"/>
          <w:szCs w:val="27"/>
        </w:rPr>
      </w:pPr>
      <w:r w:rsidRPr="00E41554">
        <w:rPr>
          <w:rFonts w:cs="Times New Roman"/>
          <w:sz w:val="27"/>
          <w:szCs w:val="27"/>
        </w:rPr>
        <w:t>National Agricultural Advisory Services (NAADS).</w:t>
      </w:r>
    </w:p>
    <w:p w:rsidR="00D76B32" w:rsidRPr="00E41554" w:rsidRDefault="00D76B32" w:rsidP="002F7024">
      <w:pPr>
        <w:pStyle w:val="BodyText"/>
        <w:ind w:right="-432"/>
        <w:rPr>
          <w:b/>
          <w:sz w:val="27"/>
          <w:szCs w:val="27"/>
        </w:rPr>
      </w:pPr>
      <w:r w:rsidRPr="00E41554">
        <w:rPr>
          <w:sz w:val="27"/>
          <w:szCs w:val="27"/>
        </w:rPr>
        <w:t>MAAIF is responsible for guiding the planning and implementation of PMG while NAADS Secretariat is responsible for the NAADS Development Grant; with guidance from MAAIF.</w:t>
      </w:r>
      <w:r w:rsidR="00432C8B" w:rsidRPr="00E41554">
        <w:rPr>
          <w:sz w:val="27"/>
          <w:szCs w:val="27"/>
        </w:rPr>
        <w:t xml:space="preserve"> The </w:t>
      </w:r>
      <w:r w:rsidR="00D46FBA" w:rsidRPr="00E41554">
        <w:rPr>
          <w:sz w:val="27"/>
          <w:szCs w:val="27"/>
        </w:rPr>
        <w:t>focuses of the two grants in the FY 2014/15 are</w:t>
      </w:r>
      <w:r w:rsidR="00432C8B" w:rsidRPr="00E41554">
        <w:rPr>
          <w:sz w:val="27"/>
          <w:szCs w:val="27"/>
        </w:rPr>
        <w:t xml:space="preserve"> as follows;</w:t>
      </w:r>
    </w:p>
    <w:p w:rsidR="002F7024" w:rsidRPr="00E41554" w:rsidRDefault="002F7024" w:rsidP="002F7024">
      <w:pPr>
        <w:pStyle w:val="BodyText"/>
        <w:ind w:right="-432"/>
        <w:rPr>
          <w:b/>
          <w:sz w:val="27"/>
          <w:szCs w:val="27"/>
        </w:rPr>
      </w:pPr>
    </w:p>
    <w:p w:rsidR="008945E0" w:rsidRPr="00E23451" w:rsidRDefault="00E23451" w:rsidP="00E23451">
      <w:pPr>
        <w:pStyle w:val="Heading2"/>
        <w:rPr>
          <w:color w:val="auto"/>
        </w:rPr>
      </w:pPr>
      <w:r w:rsidRPr="00E23451">
        <w:rPr>
          <w:color w:val="auto"/>
        </w:rPr>
        <w:t>1.1</w:t>
      </w:r>
      <w:r w:rsidRPr="00E23451">
        <w:rPr>
          <w:color w:val="auto"/>
        </w:rPr>
        <w:tab/>
      </w:r>
      <w:r w:rsidR="008945E0" w:rsidRPr="00E23451">
        <w:rPr>
          <w:color w:val="auto"/>
        </w:rPr>
        <w:t>IMPLEMENTATION OF THE COMMODITY APPROACH</w:t>
      </w:r>
    </w:p>
    <w:p w:rsidR="008945E0" w:rsidRPr="00E41554" w:rsidRDefault="008945E0" w:rsidP="008945E0">
      <w:pPr>
        <w:pStyle w:val="ListParagraph"/>
        <w:tabs>
          <w:tab w:val="left" w:pos="3870"/>
        </w:tabs>
        <w:ind w:left="705"/>
        <w:contextualSpacing/>
        <w:rPr>
          <w:rFonts w:cs="Times New Roman"/>
          <w:b/>
          <w:bCs/>
          <w:sz w:val="27"/>
          <w:szCs w:val="27"/>
        </w:rPr>
      </w:pPr>
    </w:p>
    <w:p w:rsidR="008945E0" w:rsidRPr="00E41554" w:rsidRDefault="008945E0" w:rsidP="008945E0">
      <w:pPr>
        <w:spacing w:line="276" w:lineRule="auto"/>
        <w:jc w:val="both"/>
        <w:rPr>
          <w:sz w:val="27"/>
          <w:szCs w:val="27"/>
        </w:rPr>
      </w:pPr>
      <w:r w:rsidRPr="00E41554">
        <w:rPr>
          <w:sz w:val="27"/>
          <w:szCs w:val="27"/>
        </w:rPr>
        <w:t>In 2011; Government took a decision to come up with a short term, affordable and practical approach to addressing supply side constraints impacting on food security, household incomes and exports by implementing a commodity based approach to increase agricultural production and productivity; within the contexts of the NDP, the DSIP and the Agricultural Zoning Strategy of 2004.</w:t>
      </w:r>
    </w:p>
    <w:p w:rsidR="008945E0" w:rsidRPr="00E41554" w:rsidRDefault="008945E0" w:rsidP="008945E0">
      <w:pPr>
        <w:spacing w:line="276" w:lineRule="auto"/>
        <w:jc w:val="both"/>
        <w:rPr>
          <w:sz w:val="27"/>
          <w:szCs w:val="27"/>
        </w:rPr>
      </w:pPr>
    </w:p>
    <w:p w:rsidR="008945E0" w:rsidRPr="00E41554" w:rsidRDefault="008945E0" w:rsidP="008945E0">
      <w:pPr>
        <w:spacing w:line="276" w:lineRule="auto"/>
        <w:jc w:val="both"/>
        <w:rPr>
          <w:sz w:val="27"/>
          <w:szCs w:val="27"/>
        </w:rPr>
      </w:pPr>
      <w:r w:rsidRPr="00E41554">
        <w:rPr>
          <w:sz w:val="27"/>
          <w:szCs w:val="27"/>
        </w:rPr>
        <w:t>To ensure focus and ma</w:t>
      </w:r>
      <w:r w:rsidR="00F4246C">
        <w:rPr>
          <w:sz w:val="27"/>
          <w:szCs w:val="27"/>
        </w:rPr>
        <w:t>ximum impact in a short run, eleven</w:t>
      </w:r>
      <w:r w:rsidRPr="00E41554">
        <w:rPr>
          <w:sz w:val="27"/>
          <w:szCs w:val="27"/>
        </w:rPr>
        <w:t xml:space="preserve"> commodities were selected; which were categorized into two; namely; food security commodities and market oriented commodities.</w:t>
      </w:r>
    </w:p>
    <w:p w:rsidR="008945E0" w:rsidRPr="00E41554" w:rsidRDefault="008945E0" w:rsidP="008945E0">
      <w:pPr>
        <w:spacing w:line="276" w:lineRule="auto"/>
        <w:jc w:val="both"/>
        <w:rPr>
          <w:sz w:val="27"/>
          <w:szCs w:val="27"/>
        </w:rPr>
      </w:pPr>
      <w:r w:rsidRPr="00E41554">
        <w:rPr>
          <w:sz w:val="27"/>
          <w:szCs w:val="27"/>
        </w:rPr>
        <w:t>Under the first category on improving food security, eight commodities were prioritized:</w:t>
      </w:r>
    </w:p>
    <w:p w:rsidR="008945E0" w:rsidRPr="00E41554" w:rsidRDefault="008945E0" w:rsidP="00DC5036">
      <w:pPr>
        <w:pStyle w:val="ListParagraph"/>
        <w:numPr>
          <w:ilvl w:val="0"/>
          <w:numId w:val="21"/>
        </w:numPr>
        <w:spacing w:line="276" w:lineRule="auto"/>
        <w:jc w:val="both"/>
        <w:rPr>
          <w:rFonts w:cs="Times New Roman"/>
          <w:sz w:val="27"/>
          <w:szCs w:val="27"/>
        </w:rPr>
      </w:pPr>
      <w:r w:rsidRPr="00E41554">
        <w:rPr>
          <w:rFonts w:cs="Times New Roman"/>
          <w:sz w:val="27"/>
          <w:szCs w:val="27"/>
        </w:rPr>
        <w:t>Maize, (ii) Beans, (iii) Rice, (iv) Bananas, (v) Cassava, (vi) Dairy cattle, (vii) meat (viii) Fish.</w:t>
      </w:r>
    </w:p>
    <w:p w:rsidR="008945E0" w:rsidRPr="00E41554" w:rsidRDefault="008945E0" w:rsidP="008945E0">
      <w:pPr>
        <w:spacing w:line="276" w:lineRule="auto"/>
        <w:jc w:val="both"/>
        <w:rPr>
          <w:sz w:val="27"/>
          <w:szCs w:val="27"/>
        </w:rPr>
      </w:pPr>
      <w:r w:rsidRPr="00E41554">
        <w:rPr>
          <w:sz w:val="27"/>
          <w:szCs w:val="27"/>
        </w:rPr>
        <w:t>Under the second category (market oriented), seven commodities were prioritized:</w:t>
      </w:r>
    </w:p>
    <w:p w:rsidR="008945E0" w:rsidRPr="00E41554" w:rsidRDefault="008945E0" w:rsidP="00DC5036">
      <w:pPr>
        <w:pStyle w:val="ListParagraph"/>
        <w:numPr>
          <w:ilvl w:val="0"/>
          <w:numId w:val="22"/>
        </w:numPr>
        <w:spacing w:line="276" w:lineRule="auto"/>
        <w:jc w:val="both"/>
        <w:rPr>
          <w:rFonts w:cs="Times New Roman"/>
          <w:sz w:val="27"/>
          <w:szCs w:val="27"/>
        </w:rPr>
      </w:pPr>
      <w:r w:rsidRPr="00E41554">
        <w:rPr>
          <w:rFonts w:cs="Times New Roman"/>
          <w:sz w:val="27"/>
          <w:szCs w:val="27"/>
        </w:rPr>
        <w:t>Maize, (ii) Beans, (iii) Cassava, (iv) Rice, (v) Coffee, (vi) Tea, (vii) Fish, market fruits</w:t>
      </w:r>
      <w:r w:rsidR="00DC5036" w:rsidRPr="00E41554">
        <w:rPr>
          <w:rFonts w:cs="Times New Roman"/>
          <w:sz w:val="27"/>
          <w:szCs w:val="27"/>
        </w:rPr>
        <w:t xml:space="preserve"> (citrus, apples and pineapples)</w:t>
      </w:r>
      <w:r w:rsidRPr="00E41554">
        <w:rPr>
          <w:rFonts w:cs="Times New Roman"/>
          <w:sz w:val="27"/>
          <w:szCs w:val="27"/>
        </w:rPr>
        <w:t xml:space="preserve"> and vegetables.</w:t>
      </w:r>
    </w:p>
    <w:p w:rsidR="00DC5036" w:rsidRPr="00E41554" w:rsidRDefault="00DC5036" w:rsidP="00432C8B">
      <w:pPr>
        <w:spacing w:line="276" w:lineRule="auto"/>
        <w:jc w:val="both"/>
        <w:rPr>
          <w:sz w:val="27"/>
          <w:szCs w:val="27"/>
        </w:rPr>
      </w:pPr>
    </w:p>
    <w:p w:rsidR="00432C8B" w:rsidRPr="00E41554" w:rsidRDefault="00432C8B" w:rsidP="00432C8B">
      <w:pPr>
        <w:spacing w:after="200" w:line="276" w:lineRule="auto"/>
        <w:contextualSpacing/>
        <w:jc w:val="both"/>
        <w:rPr>
          <w:i/>
          <w:sz w:val="27"/>
          <w:szCs w:val="27"/>
        </w:rPr>
      </w:pPr>
      <w:r w:rsidRPr="00E41554">
        <w:rPr>
          <w:i/>
          <w:sz w:val="27"/>
          <w:szCs w:val="27"/>
        </w:rPr>
        <w:t xml:space="preserve">All local governments (regions) are required to implement the commodity approach in accordance to the Zoning Strategy </w:t>
      </w:r>
    </w:p>
    <w:p w:rsidR="00251A08" w:rsidRPr="00E41554" w:rsidRDefault="00251A08" w:rsidP="00432C8B">
      <w:pPr>
        <w:spacing w:after="200" w:line="276" w:lineRule="auto"/>
        <w:contextualSpacing/>
        <w:jc w:val="both"/>
        <w:rPr>
          <w:i/>
          <w:sz w:val="27"/>
          <w:szCs w:val="27"/>
        </w:rPr>
      </w:pPr>
    </w:p>
    <w:p w:rsidR="00432C8B" w:rsidRDefault="00432C8B" w:rsidP="00432C8B">
      <w:pPr>
        <w:spacing w:after="200" w:line="276" w:lineRule="auto"/>
        <w:contextualSpacing/>
        <w:jc w:val="both"/>
        <w:rPr>
          <w:sz w:val="27"/>
          <w:szCs w:val="27"/>
        </w:rPr>
      </w:pPr>
      <w:r w:rsidRPr="00E41554">
        <w:rPr>
          <w:b/>
          <w:sz w:val="27"/>
          <w:szCs w:val="27"/>
        </w:rPr>
        <w:lastRenderedPageBreak/>
        <w:t>NB: This does not mean that other commodities will be ignored by Government. It’s just that the above were identified as strategic and will be given more emphasis at National level. Otherwise individual districts and sub counties will continue to promote selected enterprises under the NAADS Program</w:t>
      </w:r>
      <w:r w:rsidRPr="00E41554">
        <w:rPr>
          <w:sz w:val="27"/>
          <w:szCs w:val="27"/>
        </w:rPr>
        <w:t>.</w:t>
      </w:r>
    </w:p>
    <w:p w:rsidR="002F7024" w:rsidRPr="00E41554" w:rsidRDefault="00E23451" w:rsidP="00E23451">
      <w:pPr>
        <w:pStyle w:val="Heading2"/>
        <w:rPr>
          <w:rFonts w:ascii="Times New Roman" w:hAnsi="Times New Roman" w:cs="Times New Roman"/>
        </w:rPr>
      </w:pPr>
      <w:r w:rsidRPr="00E23451">
        <w:rPr>
          <w:color w:val="auto"/>
        </w:rPr>
        <w:t>1.2</w:t>
      </w:r>
      <w:r w:rsidR="00E41554" w:rsidRPr="00E23451">
        <w:rPr>
          <w:color w:val="auto"/>
        </w:rPr>
        <w:tab/>
        <w:t>SINGLE SPIN</w:t>
      </w:r>
      <w:r w:rsidR="0041122F">
        <w:rPr>
          <w:color w:val="auto"/>
        </w:rPr>
        <w:t>E</w:t>
      </w:r>
      <w:r w:rsidR="00E41554" w:rsidRPr="00E23451">
        <w:rPr>
          <w:color w:val="auto"/>
        </w:rPr>
        <w:t xml:space="preserve"> IMPLEMENTATION  </w:t>
      </w:r>
    </w:p>
    <w:p w:rsidR="009A0063" w:rsidRPr="00E41554" w:rsidRDefault="009A0063" w:rsidP="002F7024">
      <w:pPr>
        <w:pStyle w:val="BodyText"/>
        <w:ind w:right="-432"/>
        <w:rPr>
          <w:b/>
          <w:sz w:val="27"/>
          <w:szCs w:val="27"/>
        </w:rPr>
      </w:pPr>
    </w:p>
    <w:p w:rsidR="009A0063" w:rsidRPr="00E41554" w:rsidRDefault="00756DDD" w:rsidP="002F7024">
      <w:pPr>
        <w:pStyle w:val="BodyText"/>
        <w:ind w:right="-432"/>
        <w:rPr>
          <w:sz w:val="27"/>
          <w:szCs w:val="27"/>
        </w:rPr>
      </w:pPr>
      <w:r w:rsidRPr="00E41554">
        <w:rPr>
          <w:sz w:val="27"/>
          <w:szCs w:val="27"/>
        </w:rPr>
        <w:t>Government has adopted a single spin</w:t>
      </w:r>
      <w:r w:rsidR="0041122F">
        <w:rPr>
          <w:sz w:val="27"/>
          <w:szCs w:val="27"/>
        </w:rPr>
        <w:t>e</w:t>
      </w:r>
      <w:bookmarkStart w:id="0" w:name="_GoBack"/>
      <w:bookmarkEnd w:id="0"/>
      <w:r w:rsidRPr="00E41554">
        <w:rPr>
          <w:sz w:val="27"/>
          <w:szCs w:val="27"/>
        </w:rPr>
        <w:t xml:space="preserve"> extension system to merge traditional extensional services with NAADS extension system. Implementation of this will be gradual because of contractual issues with the current NAADS staff. </w:t>
      </w:r>
    </w:p>
    <w:p w:rsidR="002F7024" w:rsidRPr="00E41554" w:rsidRDefault="002F7024" w:rsidP="002F7024">
      <w:pPr>
        <w:pStyle w:val="BodyText"/>
        <w:ind w:right="-432"/>
        <w:rPr>
          <w:b/>
          <w:sz w:val="27"/>
          <w:szCs w:val="27"/>
        </w:rPr>
      </w:pPr>
    </w:p>
    <w:p w:rsidR="002F7024" w:rsidRPr="00E23451" w:rsidRDefault="00E23451" w:rsidP="00E23451">
      <w:pPr>
        <w:pStyle w:val="Heading2"/>
        <w:rPr>
          <w:rFonts w:ascii="Times New Roman" w:hAnsi="Times New Roman" w:cs="Times New Roman"/>
          <w:color w:val="auto"/>
        </w:rPr>
      </w:pPr>
      <w:r w:rsidRPr="00E23451">
        <w:rPr>
          <w:rFonts w:ascii="Times New Roman" w:hAnsi="Times New Roman" w:cs="Times New Roman"/>
          <w:color w:val="auto"/>
        </w:rPr>
        <w:t>1.3</w:t>
      </w:r>
      <w:r w:rsidR="00DF383B">
        <w:rPr>
          <w:rFonts w:ascii="Times New Roman" w:hAnsi="Times New Roman" w:cs="Times New Roman"/>
          <w:color w:val="auto"/>
        </w:rPr>
        <w:tab/>
      </w:r>
      <w:r w:rsidR="00937AE4" w:rsidRPr="00E23451">
        <w:rPr>
          <w:rFonts w:ascii="Times New Roman" w:hAnsi="Times New Roman" w:cs="Times New Roman"/>
          <w:color w:val="auto"/>
        </w:rPr>
        <w:t>NAA</w:t>
      </w:r>
      <w:r w:rsidRPr="00E23451">
        <w:rPr>
          <w:rFonts w:ascii="Times New Roman" w:hAnsi="Times New Roman" w:cs="Times New Roman"/>
          <w:color w:val="auto"/>
        </w:rPr>
        <w:t>DS CONCERNS AT LOCAL GOVERNMENT LEVEL</w:t>
      </w:r>
    </w:p>
    <w:p w:rsidR="00937AE4" w:rsidRPr="00E41554" w:rsidRDefault="00937AE4" w:rsidP="002F7024">
      <w:pPr>
        <w:pStyle w:val="BodyText"/>
        <w:ind w:right="-432"/>
        <w:rPr>
          <w:b/>
          <w:sz w:val="27"/>
          <w:szCs w:val="27"/>
        </w:rPr>
      </w:pPr>
    </w:p>
    <w:p w:rsidR="00937AE4" w:rsidRPr="00E41554" w:rsidRDefault="00937AE4" w:rsidP="00937AE4">
      <w:pPr>
        <w:pStyle w:val="ListParagraph"/>
        <w:numPr>
          <w:ilvl w:val="0"/>
          <w:numId w:val="25"/>
        </w:numPr>
        <w:spacing w:line="360" w:lineRule="auto"/>
        <w:contextualSpacing/>
        <w:jc w:val="both"/>
        <w:rPr>
          <w:rFonts w:cs="Times New Roman"/>
          <w:b/>
          <w:sz w:val="27"/>
          <w:szCs w:val="27"/>
        </w:rPr>
      </w:pPr>
      <w:r w:rsidRPr="00E41554">
        <w:rPr>
          <w:rFonts w:cs="Times New Roman"/>
          <w:b/>
          <w:sz w:val="27"/>
          <w:szCs w:val="27"/>
        </w:rPr>
        <w:t>The continuous changes in the NAADS guidelines have caused operational challenges.</w:t>
      </w:r>
    </w:p>
    <w:p w:rsidR="00937AE4" w:rsidRPr="00E41554" w:rsidRDefault="00B11899" w:rsidP="00937AE4">
      <w:pPr>
        <w:spacing w:line="360" w:lineRule="auto"/>
        <w:ind w:right="-432"/>
        <w:jc w:val="both"/>
        <w:rPr>
          <w:sz w:val="27"/>
          <w:szCs w:val="27"/>
        </w:rPr>
      </w:pPr>
      <w:r w:rsidRPr="00E41554">
        <w:rPr>
          <w:sz w:val="27"/>
          <w:szCs w:val="27"/>
        </w:rPr>
        <w:t>MAAIF/NAADS Secretariat is</w:t>
      </w:r>
      <w:r w:rsidR="00937AE4" w:rsidRPr="00E41554">
        <w:rPr>
          <w:sz w:val="27"/>
          <w:szCs w:val="27"/>
        </w:rPr>
        <w:t xml:space="preserve"> in the process of finalizing the NAADS grant utilization guidelines for 2014/15; </w:t>
      </w:r>
      <w:r w:rsidR="00B66A66" w:rsidRPr="00E41554">
        <w:rPr>
          <w:sz w:val="27"/>
          <w:szCs w:val="27"/>
        </w:rPr>
        <w:t>they</w:t>
      </w:r>
      <w:r w:rsidR="00937AE4" w:rsidRPr="00E41554">
        <w:rPr>
          <w:sz w:val="27"/>
          <w:szCs w:val="27"/>
        </w:rPr>
        <w:t xml:space="preserve"> will emphasize streamlining the provision of seed, planting, stocking and breeding material through the Food Security, Market Oriented and </w:t>
      </w:r>
      <w:r w:rsidRPr="00E41554">
        <w:rPr>
          <w:sz w:val="27"/>
          <w:szCs w:val="27"/>
        </w:rPr>
        <w:t>Commercialized Farmer</w:t>
      </w:r>
      <w:r w:rsidR="00937AE4" w:rsidRPr="00E41554">
        <w:rPr>
          <w:sz w:val="27"/>
          <w:szCs w:val="27"/>
        </w:rPr>
        <w:t xml:space="preserve"> Categories.</w:t>
      </w:r>
    </w:p>
    <w:p w:rsidR="00937AE4" w:rsidRPr="00E41554" w:rsidRDefault="00937AE4" w:rsidP="00937AE4">
      <w:pPr>
        <w:spacing w:line="360" w:lineRule="auto"/>
        <w:jc w:val="both"/>
        <w:rPr>
          <w:sz w:val="27"/>
          <w:szCs w:val="27"/>
        </w:rPr>
      </w:pPr>
      <w:r w:rsidRPr="00E41554">
        <w:rPr>
          <w:sz w:val="27"/>
          <w:szCs w:val="27"/>
        </w:rPr>
        <w:t xml:space="preserve">MAAIF/NAADS will endeavor to ensure stability of the NAADS guidelines and that users of such guidelines are consulted in case guidelines are to be reviewed. However, changes may come as and when the ATAAS Project Implementation Manual (PIM) is reviewed during project implementation. </w:t>
      </w:r>
      <w:proofErr w:type="spellStart"/>
      <w:proofErr w:type="gramStart"/>
      <w:r w:rsidRPr="00E41554">
        <w:rPr>
          <w:sz w:val="27"/>
          <w:szCs w:val="27"/>
        </w:rPr>
        <w:t>e.g</w:t>
      </w:r>
      <w:proofErr w:type="spellEnd"/>
      <w:proofErr w:type="gramEnd"/>
      <w:r w:rsidRPr="00E41554">
        <w:rPr>
          <w:sz w:val="27"/>
          <w:szCs w:val="27"/>
        </w:rPr>
        <w:t xml:space="preserve"> Mid Term Review in January 2014.</w:t>
      </w:r>
    </w:p>
    <w:p w:rsidR="00731A36" w:rsidRPr="00E41554" w:rsidRDefault="00731A36" w:rsidP="00937AE4">
      <w:pPr>
        <w:spacing w:line="360" w:lineRule="auto"/>
        <w:jc w:val="both"/>
        <w:rPr>
          <w:sz w:val="27"/>
          <w:szCs w:val="27"/>
        </w:rPr>
      </w:pPr>
    </w:p>
    <w:p w:rsidR="00937AE4" w:rsidRPr="00E41554" w:rsidRDefault="00937AE4" w:rsidP="00731A36">
      <w:pPr>
        <w:pStyle w:val="ListParagraph"/>
        <w:numPr>
          <w:ilvl w:val="0"/>
          <w:numId w:val="25"/>
        </w:numPr>
        <w:spacing w:line="360" w:lineRule="auto"/>
        <w:contextualSpacing/>
        <w:jc w:val="both"/>
        <w:rPr>
          <w:rFonts w:cs="Times New Roman"/>
          <w:sz w:val="27"/>
          <w:szCs w:val="27"/>
        </w:rPr>
      </w:pPr>
      <w:r w:rsidRPr="00E41554">
        <w:rPr>
          <w:rFonts w:cs="Times New Roman"/>
          <w:b/>
          <w:sz w:val="27"/>
          <w:szCs w:val="27"/>
        </w:rPr>
        <w:t xml:space="preserve">Budget line for Community Mobilization under the NAADS </w:t>
      </w:r>
      <w:proofErr w:type="spellStart"/>
      <w:r w:rsidRPr="00E41554">
        <w:rPr>
          <w:rFonts w:cs="Times New Roman"/>
          <w:b/>
          <w:sz w:val="27"/>
          <w:szCs w:val="27"/>
        </w:rPr>
        <w:t>programme</w:t>
      </w:r>
      <w:proofErr w:type="spellEnd"/>
      <w:r w:rsidRPr="00E41554">
        <w:rPr>
          <w:rFonts w:cs="Times New Roman"/>
          <w:b/>
          <w:sz w:val="27"/>
          <w:szCs w:val="27"/>
        </w:rPr>
        <w:t>.</w:t>
      </w:r>
    </w:p>
    <w:p w:rsidR="00937AE4" w:rsidRPr="00E41554" w:rsidRDefault="00937AE4" w:rsidP="00937AE4">
      <w:pPr>
        <w:spacing w:line="360" w:lineRule="auto"/>
        <w:jc w:val="both"/>
        <w:rPr>
          <w:sz w:val="27"/>
          <w:szCs w:val="27"/>
        </w:rPr>
      </w:pPr>
      <w:r w:rsidRPr="00E41554">
        <w:rPr>
          <w:sz w:val="27"/>
          <w:szCs w:val="27"/>
        </w:rPr>
        <w:t xml:space="preserve">Community mobilization facilitation has been provided for under the operational expenses for District Community Development Officer (DCDO) and Commercial Officer (DCO) at District level and Community/Assistant Development Officers (CDOs/ACDOs) and Agricultural Advisory Service providers (AASPs) at Sub-County level.  </w:t>
      </w:r>
    </w:p>
    <w:p w:rsidR="00937AE4" w:rsidRPr="00E41554" w:rsidRDefault="00937AE4" w:rsidP="00937AE4">
      <w:pPr>
        <w:spacing w:line="360" w:lineRule="auto"/>
        <w:contextualSpacing/>
        <w:jc w:val="both"/>
        <w:rPr>
          <w:sz w:val="27"/>
          <w:szCs w:val="27"/>
        </w:rPr>
      </w:pPr>
      <w:r w:rsidRPr="00E41554">
        <w:rPr>
          <w:sz w:val="27"/>
          <w:szCs w:val="27"/>
        </w:rPr>
        <w:lastRenderedPageBreak/>
        <w:t xml:space="preserve">The facilitation is to support </w:t>
      </w:r>
      <w:r w:rsidRPr="00E41554">
        <w:rPr>
          <w:sz w:val="27"/>
          <w:szCs w:val="27"/>
          <w:highlight w:val="yellow"/>
        </w:rPr>
        <w:t>coordination and supervision</w:t>
      </w:r>
      <w:r w:rsidRPr="00E41554">
        <w:rPr>
          <w:sz w:val="27"/>
          <w:szCs w:val="27"/>
        </w:rPr>
        <w:t xml:space="preserve"> of farmers’ institutional development activities at community level including formation and strengthening of farmer groups and Higher Level Farmer Organizations (HLFOs), training farmer groups. </w:t>
      </w:r>
      <w:proofErr w:type="gramStart"/>
      <w:r w:rsidRPr="00E41554">
        <w:rPr>
          <w:sz w:val="27"/>
          <w:szCs w:val="27"/>
        </w:rPr>
        <w:t>etc</w:t>
      </w:r>
      <w:proofErr w:type="gramEnd"/>
    </w:p>
    <w:p w:rsidR="00937AE4" w:rsidRPr="00E41554" w:rsidRDefault="00937AE4" w:rsidP="00937AE4">
      <w:pPr>
        <w:spacing w:line="360" w:lineRule="auto"/>
        <w:ind w:right="-432"/>
        <w:jc w:val="both"/>
        <w:rPr>
          <w:sz w:val="27"/>
          <w:szCs w:val="27"/>
        </w:rPr>
      </w:pPr>
    </w:p>
    <w:p w:rsidR="00937AE4" w:rsidRPr="00E41554" w:rsidRDefault="00937AE4" w:rsidP="00731A36">
      <w:pPr>
        <w:pStyle w:val="ListParagraph"/>
        <w:numPr>
          <w:ilvl w:val="0"/>
          <w:numId w:val="25"/>
        </w:numPr>
        <w:spacing w:line="360" w:lineRule="auto"/>
        <w:ind w:left="360"/>
        <w:contextualSpacing/>
        <w:jc w:val="both"/>
        <w:rPr>
          <w:rFonts w:cs="Times New Roman"/>
          <w:sz w:val="27"/>
          <w:szCs w:val="27"/>
        </w:rPr>
      </w:pPr>
      <w:r w:rsidRPr="00E41554">
        <w:rPr>
          <w:rFonts w:cs="Times New Roman"/>
          <w:b/>
          <w:sz w:val="27"/>
          <w:szCs w:val="27"/>
        </w:rPr>
        <w:t xml:space="preserve">The need for NAADS to emphasize technology transfer to enhance adoption of high quality inputs </w:t>
      </w:r>
    </w:p>
    <w:p w:rsidR="00937AE4" w:rsidRPr="00E41554" w:rsidRDefault="00937AE4" w:rsidP="00937AE4">
      <w:pPr>
        <w:pStyle w:val="ListParagraph"/>
        <w:spacing w:line="360" w:lineRule="auto"/>
        <w:ind w:left="360"/>
        <w:jc w:val="both"/>
        <w:rPr>
          <w:rFonts w:cs="Times New Roman"/>
          <w:sz w:val="27"/>
          <w:szCs w:val="27"/>
        </w:rPr>
      </w:pPr>
      <w:r w:rsidRPr="00E41554">
        <w:rPr>
          <w:rFonts w:cs="Times New Roman"/>
          <w:sz w:val="27"/>
          <w:szCs w:val="27"/>
        </w:rPr>
        <w:t xml:space="preserve">MAAIF/NAADS will ensure technology inputs transferred be quality assured by Subject Matter Specialists (SMS) before they are procured. </w:t>
      </w:r>
    </w:p>
    <w:p w:rsidR="00937AE4" w:rsidRPr="00E41554" w:rsidRDefault="00937AE4" w:rsidP="00937AE4">
      <w:pPr>
        <w:spacing w:line="360" w:lineRule="auto"/>
        <w:ind w:right="-432"/>
        <w:jc w:val="both"/>
        <w:rPr>
          <w:sz w:val="27"/>
          <w:szCs w:val="27"/>
          <w:lang w:bidi="th-TH"/>
        </w:rPr>
      </w:pPr>
    </w:p>
    <w:p w:rsidR="00937AE4" w:rsidRPr="00E41554" w:rsidRDefault="00937AE4" w:rsidP="00731A36">
      <w:pPr>
        <w:pStyle w:val="ListParagraph"/>
        <w:numPr>
          <w:ilvl w:val="0"/>
          <w:numId w:val="25"/>
        </w:numPr>
        <w:spacing w:line="360" w:lineRule="auto"/>
        <w:ind w:left="360"/>
        <w:contextualSpacing/>
        <w:jc w:val="both"/>
        <w:rPr>
          <w:rFonts w:cs="Times New Roman"/>
          <w:b/>
          <w:sz w:val="27"/>
          <w:szCs w:val="27"/>
        </w:rPr>
      </w:pPr>
      <w:r w:rsidRPr="00E41554">
        <w:rPr>
          <w:rFonts w:cs="Times New Roman"/>
          <w:b/>
          <w:sz w:val="27"/>
          <w:szCs w:val="27"/>
        </w:rPr>
        <w:t>OBT Versus Reporting Formats under NAADS</w:t>
      </w:r>
    </w:p>
    <w:p w:rsidR="00937AE4" w:rsidRPr="00E41554" w:rsidRDefault="00937AE4" w:rsidP="00937AE4">
      <w:pPr>
        <w:spacing w:line="360" w:lineRule="auto"/>
        <w:ind w:right="-432"/>
        <w:jc w:val="both"/>
        <w:rPr>
          <w:sz w:val="27"/>
          <w:szCs w:val="27"/>
          <w:lang w:bidi="th-TH"/>
        </w:rPr>
      </w:pPr>
    </w:p>
    <w:p w:rsidR="00937AE4" w:rsidRPr="00E41554" w:rsidRDefault="00937AE4" w:rsidP="00937AE4">
      <w:pPr>
        <w:spacing w:line="360" w:lineRule="auto"/>
        <w:ind w:right="-432"/>
        <w:jc w:val="both"/>
        <w:rPr>
          <w:sz w:val="27"/>
          <w:szCs w:val="27"/>
          <w:lang w:bidi="th-TH"/>
        </w:rPr>
      </w:pPr>
      <w:r w:rsidRPr="00E41554">
        <w:rPr>
          <w:sz w:val="27"/>
          <w:szCs w:val="27"/>
          <w:lang w:bidi="th-TH"/>
        </w:rPr>
        <w:t xml:space="preserve">Refining of the NAADS guidelines to match with the annual work plans (OBT outputs) with quarterly funds release advises. This will ensure harmonization of the quarterly financial and progress reports from districts/sub counties with the release advises. To work closely with the Office of the Prime Minister and </w:t>
      </w:r>
      <w:proofErr w:type="spellStart"/>
      <w:r w:rsidRPr="00E41554">
        <w:rPr>
          <w:sz w:val="27"/>
          <w:szCs w:val="27"/>
          <w:lang w:bidi="th-TH"/>
        </w:rPr>
        <w:t>MoFPED</w:t>
      </w:r>
      <w:proofErr w:type="spellEnd"/>
      <w:r w:rsidRPr="00E41554">
        <w:rPr>
          <w:sz w:val="27"/>
          <w:szCs w:val="27"/>
          <w:highlight w:val="yellow"/>
          <w:lang w:bidi="th-TH"/>
        </w:rPr>
        <w:t xml:space="preserve"> regarding the alignment of Key performance Indicators in the ATAAS Project Implementation manual and the </w:t>
      </w:r>
      <w:proofErr w:type="gramStart"/>
      <w:r w:rsidRPr="00E41554">
        <w:rPr>
          <w:sz w:val="27"/>
          <w:szCs w:val="27"/>
          <w:highlight w:val="yellow"/>
          <w:lang w:bidi="th-TH"/>
        </w:rPr>
        <w:t xml:space="preserve">OBT </w:t>
      </w:r>
      <w:r w:rsidRPr="00E41554">
        <w:rPr>
          <w:sz w:val="27"/>
          <w:szCs w:val="27"/>
          <w:lang w:bidi="th-TH"/>
        </w:rPr>
        <w:t>.</w:t>
      </w:r>
      <w:proofErr w:type="gramEnd"/>
    </w:p>
    <w:p w:rsidR="00937AE4" w:rsidRPr="00E41554" w:rsidRDefault="00937AE4" w:rsidP="00937AE4">
      <w:pPr>
        <w:spacing w:line="360" w:lineRule="auto"/>
        <w:jc w:val="both"/>
        <w:rPr>
          <w:bCs/>
          <w:sz w:val="27"/>
          <w:szCs w:val="27"/>
        </w:rPr>
      </w:pPr>
    </w:p>
    <w:p w:rsidR="00937AE4" w:rsidRPr="00E41554" w:rsidRDefault="00937AE4" w:rsidP="00731A36">
      <w:pPr>
        <w:pStyle w:val="ListParagraph"/>
        <w:numPr>
          <w:ilvl w:val="0"/>
          <w:numId w:val="25"/>
        </w:numPr>
        <w:spacing w:line="360" w:lineRule="auto"/>
        <w:ind w:left="360"/>
        <w:contextualSpacing/>
        <w:jc w:val="both"/>
        <w:rPr>
          <w:rFonts w:cs="Times New Roman"/>
          <w:b/>
          <w:sz w:val="27"/>
          <w:szCs w:val="27"/>
        </w:rPr>
      </w:pPr>
      <w:r w:rsidRPr="00E41554">
        <w:rPr>
          <w:rFonts w:cs="Times New Roman"/>
          <w:b/>
          <w:sz w:val="27"/>
          <w:szCs w:val="27"/>
        </w:rPr>
        <w:t>NAADS GRANT Allocation Formula and parameters for the FY 2014/15</w:t>
      </w:r>
    </w:p>
    <w:p w:rsidR="00937AE4" w:rsidRPr="00E41554" w:rsidRDefault="00937AE4" w:rsidP="00937AE4">
      <w:pPr>
        <w:spacing w:line="360" w:lineRule="auto"/>
        <w:jc w:val="both"/>
        <w:rPr>
          <w:sz w:val="27"/>
          <w:szCs w:val="27"/>
        </w:rPr>
      </w:pPr>
    </w:p>
    <w:p w:rsidR="00937AE4" w:rsidRPr="00E41554" w:rsidRDefault="00937AE4" w:rsidP="00937AE4">
      <w:pPr>
        <w:spacing w:line="360" w:lineRule="auto"/>
        <w:jc w:val="both"/>
        <w:rPr>
          <w:sz w:val="27"/>
          <w:szCs w:val="27"/>
        </w:rPr>
      </w:pPr>
      <w:r w:rsidRPr="00E41554">
        <w:rPr>
          <w:sz w:val="27"/>
          <w:szCs w:val="27"/>
        </w:rPr>
        <w:t>Allocations for operational funds are as per District with the following parameters; Area (25%), Poverty (20%) and Population 55%. The districts then allocate an average to lower local Governments. The size of lower local Governments is not considered due to inadequate statistics on the land area and poverty index for some LLGs. However, an effort has been made to collect statistics on the parameters for a number of LLGs from UBOS but the data is still insufficient to warrant utilization of the formula.</w:t>
      </w:r>
    </w:p>
    <w:p w:rsidR="00937AE4" w:rsidRDefault="00937AE4" w:rsidP="00937AE4">
      <w:pPr>
        <w:spacing w:line="360" w:lineRule="auto"/>
        <w:jc w:val="both"/>
        <w:rPr>
          <w:sz w:val="27"/>
          <w:szCs w:val="27"/>
        </w:rPr>
      </w:pPr>
      <w:r w:rsidRPr="00E41554">
        <w:rPr>
          <w:sz w:val="27"/>
          <w:szCs w:val="27"/>
        </w:rPr>
        <w:lastRenderedPageBreak/>
        <w:t>The implementation of the priority commodities under the commodity approach is currently allocated 70% of the technology uptake Grant while other district priority commodities take an average of 30%.</w:t>
      </w:r>
    </w:p>
    <w:p w:rsidR="00E23451" w:rsidRPr="00E41554" w:rsidRDefault="00E23451" w:rsidP="00937AE4">
      <w:pPr>
        <w:spacing w:line="360" w:lineRule="auto"/>
        <w:jc w:val="both"/>
        <w:rPr>
          <w:sz w:val="27"/>
          <w:szCs w:val="27"/>
        </w:rPr>
      </w:pPr>
    </w:p>
    <w:p w:rsidR="00937AE4" w:rsidRPr="00E41554" w:rsidRDefault="00937AE4" w:rsidP="00731A36">
      <w:pPr>
        <w:pStyle w:val="ListParagraph"/>
        <w:numPr>
          <w:ilvl w:val="0"/>
          <w:numId w:val="25"/>
        </w:numPr>
        <w:spacing w:line="360" w:lineRule="auto"/>
        <w:contextualSpacing/>
        <w:jc w:val="both"/>
        <w:rPr>
          <w:rFonts w:cs="Times New Roman"/>
          <w:sz w:val="27"/>
          <w:szCs w:val="27"/>
        </w:rPr>
      </w:pPr>
      <w:r w:rsidRPr="00E41554">
        <w:rPr>
          <w:rFonts w:cs="Times New Roman"/>
          <w:b/>
          <w:bCs/>
          <w:sz w:val="27"/>
          <w:szCs w:val="27"/>
        </w:rPr>
        <w:t xml:space="preserve">Commercialization Challenge Fund </w:t>
      </w:r>
    </w:p>
    <w:p w:rsidR="00937AE4" w:rsidRPr="00E41554" w:rsidRDefault="00937AE4" w:rsidP="00B11899">
      <w:pPr>
        <w:spacing w:line="360" w:lineRule="auto"/>
        <w:contextualSpacing/>
        <w:jc w:val="both"/>
        <w:rPr>
          <w:sz w:val="27"/>
          <w:szCs w:val="27"/>
        </w:rPr>
      </w:pPr>
      <w:r w:rsidRPr="00E41554">
        <w:rPr>
          <w:sz w:val="27"/>
          <w:szCs w:val="27"/>
        </w:rPr>
        <w:t>That the number of commercializing farmers should be increased in order to build momentum for modernization of agricultural production</w:t>
      </w:r>
    </w:p>
    <w:p w:rsidR="00937AE4" w:rsidRPr="00E41554" w:rsidRDefault="00937AE4" w:rsidP="00B11899">
      <w:pPr>
        <w:spacing w:line="360" w:lineRule="auto"/>
        <w:jc w:val="both"/>
        <w:rPr>
          <w:sz w:val="27"/>
          <w:szCs w:val="27"/>
        </w:rPr>
      </w:pPr>
      <w:r w:rsidRPr="00E41554">
        <w:rPr>
          <w:sz w:val="27"/>
          <w:szCs w:val="27"/>
        </w:rPr>
        <w:t xml:space="preserve">There has been change in implementation modality for the support given to commercializing farmers under Commercialization Challenge Fund (CCF) window 2. </w:t>
      </w:r>
      <w:proofErr w:type="gramStart"/>
      <w:r w:rsidRPr="00E41554">
        <w:rPr>
          <w:sz w:val="27"/>
          <w:szCs w:val="27"/>
        </w:rPr>
        <w:t>i.e</w:t>
      </w:r>
      <w:proofErr w:type="gramEnd"/>
      <w:r w:rsidRPr="00E41554">
        <w:rPr>
          <w:sz w:val="27"/>
          <w:szCs w:val="27"/>
        </w:rPr>
        <w:t xml:space="preserve">. change from individual farmers to farmer groups, associations, cooperative societies or unions. The NAADs Secretariat is working on the CCF framework that will guide on the implementation. This approach will result into increased number of beneficiaries. </w:t>
      </w:r>
    </w:p>
    <w:p w:rsidR="00937AE4" w:rsidRDefault="00937AE4" w:rsidP="00B11899">
      <w:pPr>
        <w:spacing w:line="360" w:lineRule="auto"/>
        <w:contextualSpacing/>
        <w:jc w:val="both"/>
        <w:rPr>
          <w:bCs/>
          <w:sz w:val="27"/>
          <w:szCs w:val="27"/>
        </w:rPr>
      </w:pPr>
      <w:r w:rsidRPr="00E41554">
        <w:rPr>
          <w:bCs/>
          <w:sz w:val="27"/>
          <w:szCs w:val="27"/>
        </w:rPr>
        <w:t xml:space="preserve">MAAIF shall expedite finalization of the CCF Framework to guide implementation of the new strategy under CCF window 2. </w:t>
      </w:r>
    </w:p>
    <w:p w:rsidR="00E23451" w:rsidRDefault="00E23451" w:rsidP="00B11899">
      <w:pPr>
        <w:spacing w:line="360" w:lineRule="auto"/>
        <w:contextualSpacing/>
        <w:jc w:val="both"/>
        <w:rPr>
          <w:bCs/>
          <w:sz w:val="27"/>
          <w:szCs w:val="27"/>
        </w:rPr>
      </w:pPr>
    </w:p>
    <w:p w:rsidR="00E23451" w:rsidRPr="00E41554" w:rsidRDefault="00E23451" w:rsidP="00B11899">
      <w:pPr>
        <w:spacing w:line="360" w:lineRule="auto"/>
        <w:contextualSpacing/>
        <w:jc w:val="both"/>
        <w:rPr>
          <w:bCs/>
          <w:sz w:val="27"/>
          <w:szCs w:val="27"/>
        </w:rPr>
      </w:pPr>
    </w:p>
    <w:p w:rsidR="002F7024" w:rsidRPr="00E41554" w:rsidRDefault="00DF383B" w:rsidP="002F7024">
      <w:pPr>
        <w:pStyle w:val="BodyText"/>
        <w:ind w:right="-432"/>
        <w:rPr>
          <w:b/>
          <w:sz w:val="27"/>
          <w:szCs w:val="27"/>
        </w:rPr>
      </w:pPr>
      <w:r>
        <w:rPr>
          <w:b/>
          <w:sz w:val="27"/>
          <w:szCs w:val="27"/>
        </w:rPr>
        <w:t>2</w:t>
      </w:r>
      <w:r w:rsidR="00B11899" w:rsidRPr="00E41554">
        <w:rPr>
          <w:b/>
          <w:sz w:val="27"/>
          <w:szCs w:val="27"/>
        </w:rPr>
        <w:t>.0</w:t>
      </w:r>
      <w:r w:rsidR="00B11899" w:rsidRPr="00E41554">
        <w:rPr>
          <w:b/>
          <w:sz w:val="27"/>
          <w:szCs w:val="27"/>
        </w:rPr>
        <w:tab/>
      </w:r>
      <w:r w:rsidR="002F7024" w:rsidRPr="00E41554">
        <w:rPr>
          <w:b/>
          <w:sz w:val="27"/>
          <w:szCs w:val="27"/>
        </w:rPr>
        <w:t>HIGHLIGHTS OF THE AGRICULTURE SECTOR CONDITIONAL GRANT UTILIZATION AGREEMENT FOR FINANCIAL YEAR 2014 – 2015 BETWEEN MINISTRY OF AGRICULTURE, ANIMAL INDUSTRY AND FISHERIES AND LOCAL GOVERNMENTS</w:t>
      </w:r>
    </w:p>
    <w:p w:rsidR="002F7024" w:rsidRPr="00E41554" w:rsidRDefault="002F7024" w:rsidP="002F7024">
      <w:pPr>
        <w:tabs>
          <w:tab w:val="num" w:pos="720"/>
        </w:tabs>
        <w:ind w:left="720" w:right="-432" w:hanging="720"/>
        <w:jc w:val="both"/>
        <w:rPr>
          <w:b/>
          <w:sz w:val="27"/>
          <w:szCs w:val="27"/>
        </w:rPr>
      </w:pPr>
    </w:p>
    <w:p w:rsidR="002F7024" w:rsidRPr="00E41554" w:rsidRDefault="002F7024" w:rsidP="002F7024">
      <w:pPr>
        <w:ind w:right="-432"/>
        <w:jc w:val="both"/>
        <w:rPr>
          <w:b/>
          <w:sz w:val="27"/>
          <w:szCs w:val="27"/>
        </w:rPr>
      </w:pPr>
      <w:r w:rsidRPr="00E41554">
        <w:rPr>
          <w:b/>
          <w:sz w:val="27"/>
          <w:szCs w:val="27"/>
        </w:rPr>
        <w:t>OBLIGATIONS OF THE MAAIF</w:t>
      </w:r>
    </w:p>
    <w:p w:rsidR="002F7024" w:rsidRPr="00E41554" w:rsidRDefault="002F7024" w:rsidP="002F7024">
      <w:pPr>
        <w:ind w:right="-432"/>
        <w:jc w:val="both"/>
        <w:rPr>
          <w:sz w:val="27"/>
          <w:szCs w:val="27"/>
        </w:rPr>
      </w:pPr>
    </w:p>
    <w:p w:rsidR="002F7024" w:rsidRPr="00E41554" w:rsidRDefault="002F7024" w:rsidP="002F7024">
      <w:pPr>
        <w:numPr>
          <w:ilvl w:val="0"/>
          <w:numId w:val="1"/>
        </w:numPr>
        <w:ind w:right="-432"/>
        <w:jc w:val="both"/>
        <w:rPr>
          <w:sz w:val="27"/>
          <w:szCs w:val="27"/>
        </w:rPr>
      </w:pPr>
      <w:r w:rsidRPr="00E41554">
        <w:rPr>
          <w:sz w:val="27"/>
          <w:szCs w:val="27"/>
        </w:rPr>
        <w:t xml:space="preserve">The Ministry shall prepare and disseminate the sector guidelines which will become effective at the commencement of the year for which the negotiation is targeting (FY 2014/2015). </w:t>
      </w:r>
    </w:p>
    <w:p w:rsidR="002F7024" w:rsidRPr="00E41554" w:rsidRDefault="002F7024" w:rsidP="002F7024">
      <w:pPr>
        <w:ind w:left="720" w:right="-432"/>
        <w:jc w:val="both"/>
        <w:rPr>
          <w:sz w:val="27"/>
          <w:szCs w:val="27"/>
        </w:rPr>
      </w:pPr>
    </w:p>
    <w:p w:rsidR="002F7024" w:rsidRPr="00E41554" w:rsidRDefault="002F7024" w:rsidP="002F7024">
      <w:pPr>
        <w:numPr>
          <w:ilvl w:val="1"/>
          <w:numId w:val="1"/>
        </w:numPr>
        <w:ind w:right="-432"/>
        <w:jc w:val="both"/>
        <w:rPr>
          <w:b/>
          <w:sz w:val="27"/>
          <w:szCs w:val="27"/>
        </w:rPr>
      </w:pPr>
      <w:r w:rsidRPr="00E41554">
        <w:rPr>
          <w:b/>
          <w:sz w:val="27"/>
          <w:szCs w:val="27"/>
        </w:rPr>
        <w:t>MAAIF is in the process of finalizing the PMG guidelines for 2014/15 (they will largely emphasize the implementation of the Commodity Approach Strategy at the local government level).</w:t>
      </w:r>
    </w:p>
    <w:p w:rsidR="002F7024" w:rsidRPr="00E41554" w:rsidRDefault="002F7024" w:rsidP="002F7024">
      <w:pPr>
        <w:ind w:left="1800" w:right="-432"/>
        <w:jc w:val="both"/>
        <w:rPr>
          <w:b/>
          <w:sz w:val="27"/>
          <w:szCs w:val="27"/>
        </w:rPr>
      </w:pPr>
    </w:p>
    <w:p w:rsidR="002F7024" w:rsidRPr="00E41554" w:rsidRDefault="002F7024" w:rsidP="002F7024">
      <w:pPr>
        <w:numPr>
          <w:ilvl w:val="1"/>
          <w:numId w:val="1"/>
        </w:numPr>
        <w:ind w:right="-432"/>
        <w:jc w:val="both"/>
        <w:rPr>
          <w:b/>
          <w:sz w:val="27"/>
          <w:szCs w:val="27"/>
        </w:rPr>
      </w:pPr>
      <w:r w:rsidRPr="00E41554">
        <w:rPr>
          <w:b/>
          <w:sz w:val="27"/>
          <w:szCs w:val="27"/>
        </w:rPr>
        <w:t>MAAIF/NAADS Secretariat are in the process of finalizing the NAADS grant utilization guidelines for 2014/15; They will emphasize streamlining the provision of seed, planting, stocking and breading material through the Food Security, Market Oriented and Commercialized  Farmer Categories.</w:t>
      </w:r>
    </w:p>
    <w:p w:rsidR="002F7024" w:rsidRPr="00E41554" w:rsidRDefault="002F7024" w:rsidP="002F7024">
      <w:pPr>
        <w:ind w:left="720" w:right="-432"/>
        <w:jc w:val="both"/>
        <w:rPr>
          <w:sz w:val="27"/>
          <w:szCs w:val="27"/>
        </w:rPr>
      </w:pPr>
    </w:p>
    <w:p w:rsidR="002F7024" w:rsidRPr="00E41554" w:rsidRDefault="002F7024" w:rsidP="002F7024">
      <w:pPr>
        <w:numPr>
          <w:ilvl w:val="0"/>
          <w:numId w:val="1"/>
        </w:numPr>
        <w:ind w:right="-432"/>
        <w:jc w:val="both"/>
        <w:rPr>
          <w:sz w:val="27"/>
          <w:szCs w:val="27"/>
        </w:rPr>
      </w:pPr>
      <w:r w:rsidRPr="00E41554">
        <w:rPr>
          <w:sz w:val="27"/>
          <w:szCs w:val="27"/>
        </w:rPr>
        <w:lastRenderedPageBreak/>
        <w:t>The Ministry shall include the signed agreement for the Financial Year 2014/2015 as an annex to its Ministerial Policy Statement.</w:t>
      </w:r>
    </w:p>
    <w:p w:rsidR="002F7024" w:rsidRPr="00E41554" w:rsidRDefault="002F7024" w:rsidP="002F7024">
      <w:pPr>
        <w:ind w:left="720" w:right="-432"/>
        <w:jc w:val="both"/>
        <w:rPr>
          <w:sz w:val="27"/>
          <w:szCs w:val="27"/>
        </w:rPr>
      </w:pPr>
    </w:p>
    <w:p w:rsidR="002F7024" w:rsidRPr="00E41554" w:rsidRDefault="002F7024" w:rsidP="002F7024">
      <w:pPr>
        <w:pStyle w:val="ListParagraph"/>
        <w:numPr>
          <w:ilvl w:val="0"/>
          <w:numId w:val="11"/>
        </w:numPr>
        <w:ind w:right="-432"/>
        <w:jc w:val="both"/>
        <w:rPr>
          <w:rFonts w:cs="Times New Roman"/>
          <w:b/>
          <w:sz w:val="27"/>
          <w:szCs w:val="27"/>
        </w:rPr>
      </w:pPr>
      <w:r w:rsidRPr="00E41554">
        <w:rPr>
          <w:rFonts w:cs="Times New Roman"/>
          <w:b/>
          <w:sz w:val="27"/>
          <w:szCs w:val="27"/>
        </w:rPr>
        <w:t>Action will be taken during compilation of the Ministerial policy Statement for FY 2014/15.</w:t>
      </w:r>
    </w:p>
    <w:p w:rsidR="002F7024" w:rsidRPr="00E41554" w:rsidRDefault="002F7024" w:rsidP="002F7024">
      <w:pPr>
        <w:pStyle w:val="ListParagraph"/>
        <w:ind w:left="1080" w:right="-432"/>
        <w:jc w:val="both"/>
        <w:rPr>
          <w:rFonts w:cs="Times New Roman"/>
          <w:sz w:val="27"/>
          <w:szCs w:val="27"/>
        </w:rPr>
      </w:pPr>
    </w:p>
    <w:p w:rsidR="002F7024" w:rsidRPr="00E41554" w:rsidRDefault="002F7024" w:rsidP="002F7024">
      <w:pPr>
        <w:numPr>
          <w:ilvl w:val="0"/>
          <w:numId w:val="1"/>
        </w:numPr>
        <w:ind w:right="-432"/>
        <w:jc w:val="both"/>
        <w:rPr>
          <w:sz w:val="27"/>
          <w:szCs w:val="27"/>
        </w:rPr>
      </w:pPr>
      <w:r w:rsidRPr="00E41554">
        <w:rPr>
          <w:sz w:val="27"/>
          <w:szCs w:val="27"/>
        </w:rPr>
        <w:t>Shall communicate through circulars addressed to the Chief Administrative Officers and Town Clerks on, the issues agreed upon in the negotiations for local governments to implement in their respective sectors.</w:t>
      </w:r>
    </w:p>
    <w:p w:rsidR="002F7024" w:rsidRPr="00E41554" w:rsidRDefault="002F7024" w:rsidP="002F7024">
      <w:pPr>
        <w:ind w:left="720" w:right="-432"/>
        <w:jc w:val="both"/>
        <w:rPr>
          <w:sz w:val="27"/>
          <w:szCs w:val="27"/>
        </w:rPr>
      </w:pPr>
    </w:p>
    <w:p w:rsidR="002F7024" w:rsidRPr="00E41554" w:rsidRDefault="002F7024" w:rsidP="002F7024">
      <w:pPr>
        <w:pStyle w:val="ListParagraph"/>
        <w:numPr>
          <w:ilvl w:val="0"/>
          <w:numId w:val="11"/>
        </w:numPr>
        <w:ind w:right="-432"/>
        <w:jc w:val="both"/>
        <w:rPr>
          <w:rFonts w:cs="Times New Roman"/>
          <w:b/>
          <w:sz w:val="27"/>
          <w:szCs w:val="27"/>
        </w:rPr>
      </w:pPr>
      <w:r w:rsidRPr="00E41554">
        <w:rPr>
          <w:rFonts w:cs="Times New Roman"/>
          <w:b/>
          <w:sz w:val="27"/>
          <w:szCs w:val="27"/>
        </w:rPr>
        <w:t>The Circulars will be distributed to local governments alongside the PMG Guidelines for FY 2014/15</w:t>
      </w:r>
    </w:p>
    <w:p w:rsidR="002F7024" w:rsidRPr="00E41554" w:rsidRDefault="002F7024" w:rsidP="002F7024">
      <w:pPr>
        <w:ind w:right="-432"/>
        <w:jc w:val="both"/>
        <w:rPr>
          <w:b/>
          <w:sz w:val="27"/>
          <w:szCs w:val="27"/>
        </w:rPr>
      </w:pPr>
    </w:p>
    <w:p w:rsidR="002F7024" w:rsidRPr="00D635C3" w:rsidRDefault="002F7024" w:rsidP="00D635C3">
      <w:pPr>
        <w:pStyle w:val="ListParagraph"/>
        <w:numPr>
          <w:ilvl w:val="0"/>
          <w:numId w:val="1"/>
        </w:numPr>
        <w:contextualSpacing/>
        <w:jc w:val="both"/>
        <w:rPr>
          <w:sz w:val="27"/>
          <w:szCs w:val="27"/>
          <w:lang w:val="sw-KE"/>
        </w:rPr>
      </w:pPr>
      <w:r w:rsidRPr="00D635C3">
        <w:rPr>
          <w:sz w:val="27"/>
          <w:szCs w:val="27"/>
          <w:lang w:val="sw-KE"/>
        </w:rPr>
        <w:t xml:space="preserve">The guideline to the </w:t>
      </w:r>
      <w:r w:rsidRPr="00D635C3">
        <w:rPr>
          <w:sz w:val="27"/>
          <w:szCs w:val="27"/>
        </w:rPr>
        <w:t xml:space="preserve">ratios </w:t>
      </w:r>
      <w:r w:rsidRPr="00D635C3">
        <w:rPr>
          <w:sz w:val="27"/>
          <w:szCs w:val="27"/>
          <w:lang w:val="sw-KE"/>
        </w:rPr>
        <w:t>of</w:t>
      </w:r>
      <w:r w:rsidRPr="00D635C3">
        <w:rPr>
          <w:sz w:val="27"/>
          <w:szCs w:val="27"/>
        </w:rPr>
        <w:t xml:space="preserve"> 45% and 55%</w:t>
      </w:r>
      <w:r w:rsidRPr="00D635C3">
        <w:rPr>
          <w:sz w:val="27"/>
          <w:szCs w:val="27"/>
          <w:lang w:val="sw-KE"/>
        </w:rPr>
        <w:t xml:space="preserve"> for R</w:t>
      </w:r>
      <w:r w:rsidR="00937AE4" w:rsidRPr="00D635C3">
        <w:rPr>
          <w:sz w:val="27"/>
          <w:szCs w:val="27"/>
        </w:rPr>
        <w:t>e-current</w:t>
      </w:r>
      <w:r w:rsidRPr="00D635C3">
        <w:rPr>
          <w:sz w:val="27"/>
          <w:szCs w:val="27"/>
        </w:rPr>
        <w:t xml:space="preserve"> and Capital Development grants under the PMG</w:t>
      </w:r>
      <w:r w:rsidRPr="00D635C3">
        <w:rPr>
          <w:sz w:val="27"/>
          <w:szCs w:val="27"/>
          <w:lang w:val="sw-KE"/>
        </w:rPr>
        <w:t>.</w:t>
      </w:r>
    </w:p>
    <w:p w:rsidR="002F7024" w:rsidRPr="00E41554" w:rsidRDefault="002F7024" w:rsidP="002F7024">
      <w:pPr>
        <w:jc w:val="both"/>
        <w:rPr>
          <w:sz w:val="27"/>
          <w:szCs w:val="27"/>
        </w:rPr>
      </w:pPr>
    </w:p>
    <w:p w:rsidR="002F7024" w:rsidRPr="00E41554" w:rsidRDefault="002F7024" w:rsidP="002F7024">
      <w:pPr>
        <w:jc w:val="both"/>
        <w:rPr>
          <w:sz w:val="27"/>
          <w:szCs w:val="27"/>
        </w:rPr>
      </w:pPr>
      <w:r w:rsidRPr="00E41554">
        <w:rPr>
          <w:sz w:val="27"/>
          <w:szCs w:val="27"/>
        </w:rPr>
        <w:t>Agreed that:</w:t>
      </w:r>
    </w:p>
    <w:p w:rsidR="002F7024" w:rsidRPr="00E41554" w:rsidRDefault="002F7024" w:rsidP="002F7024">
      <w:pPr>
        <w:numPr>
          <w:ilvl w:val="0"/>
          <w:numId w:val="6"/>
        </w:numPr>
        <w:jc w:val="both"/>
        <w:rPr>
          <w:sz w:val="27"/>
          <w:szCs w:val="27"/>
        </w:rPr>
      </w:pPr>
      <w:r w:rsidRPr="00E41554">
        <w:rPr>
          <w:sz w:val="27"/>
          <w:szCs w:val="27"/>
        </w:rPr>
        <w:t xml:space="preserve">The Status Quo remains at 45%:55%, but the Ministry should study and establish the minimum operating cost for recurrent expenditures for each District. </w:t>
      </w:r>
    </w:p>
    <w:p w:rsidR="002F7024" w:rsidRPr="00E41554" w:rsidRDefault="002F7024" w:rsidP="002F7024">
      <w:pPr>
        <w:numPr>
          <w:ilvl w:val="0"/>
          <w:numId w:val="6"/>
        </w:numPr>
        <w:jc w:val="both"/>
        <w:rPr>
          <w:sz w:val="27"/>
          <w:szCs w:val="27"/>
        </w:rPr>
      </w:pPr>
      <w:r w:rsidRPr="00E41554">
        <w:rPr>
          <w:sz w:val="27"/>
          <w:szCs w:val="27"/>
          <w:lang w:val="sw-KE"/>
        </w:rPr>
        <w:t>All local governments should comply with the above ratio of resource sharing.</w:t>
      </w:r>
    </w:p>
    <w:p w:rsidR="002F7024" w:rsidRPr="00E41554" w:rsidRDefault="002F7024" w:rsidP="002F7024">
      <w:pPr>
        <w:numPr>
          <w:ilvl w:val="0"/>
          <w:numId w:val="6"/>
        </w:numPr>
        <w:jc w:val="both"/>
        <w:rPr>
          <w:sz w:val="27"/>
          <w:szCs w:val="27"/>
        </w:rPr>
      </w:pPr>
      <w:r w:rsidRPr="00E41554">
        <w:rPr>
          <w:sz w:val="27"/>
          <w:szCs w:val="27"/>
        </w:rPr>
        <w:t>The Ministry should continue to advocate for the increase in the Production and Marketing Grant</w:t>
      </w:r>
    </w:p>
    <w:p w:rsidR="002F7024" w:rsidRPr="00E41554" w:rsidRDefault="002F7024" w:rsidP="002F7024">
      <w:pPr>
        <w:ind w:right="-432"/>
        <w:jc w:val="both"/>
        <w:rPr>
          <w:sz w:val="27"/>
          <w:szCs w:val="27"/>
        </w:rPr>
      </w:pPr>
    </w:p>
    <w:p w:rsidR="002F7024" w:rsidRPr="00E41554" w:rsidRDefault="002F7024" w:rsidP="002F7024">
      <w:pPr>
        <w:pStyle w:val="ListParagraph"/>
        <w:numPr>
          <w:ilvl w:val="0"/>
          <w:numId w:val="11"/>
        </w:numPr>
        <w:ind w:right="-432"/>
        <w:jc w:val="both"/>
        <w:rPr>
          <w:rFonts w:cs="Times New Roman"/>
          <w:b/>
          <w:sz w:val="27"/>
          <w:szCs w:val="27"/>
        </w:rPr>
      </w:pPr>
      <w:r w:rsidRPr="00E41554">
        <w:rPr>
          <w:rFonts w:cs="Times New Roman"/>
          <w:b/>
          <w:sz w:val="27"/>
          <w:szCs w:val="27"/>
        </w:rPr>
        <w:t>MAAIF will present the need for additional funding of the PMG during the FY 2014/15 budget negotiations and in the issues paper to the MFPED.</w:t>
      </w:r>
    </w:p>
    <w:p w:rsidR="002F7024" w:rsidRPr="00E41554" w:rsidRDefault="002F7024" w:rsidP="002F7024">
      <w:pPr>
        <w:ind w:right="-432"/>
        <w:jc w:val="both"/>
        <w:rPr>
          <w:sz w:val="27"/>
          <w:szCs w:val="27"/>
        </w:rPr>
      </w:pPr>
    </w:p>
    <w:p w:rsidR="002F7024" w:rsidRPr="00E41554" w:rsidRDefault="002F7024" w:rsidP="002F7024">
      <w:pPr>
        <w:jc w:val="both"/>
        <w:rPr>
          <w:iCs/>
          <w:sz w:val="27"/>
          <w:szCs w:val="27"/>
        </w:rPr>
      </w:pPr>
    </w:p>
    <w:p w:rsidR="002F7024" w:rsidRPr="00E41554" w:rsidRDefault="002F7024" w:rsidP="002F7024">
      <w:pPr>
        <w:jc w:val="both"/>
        <w:rPr>
          <w:sz w:val="27"/>
          <w:szCs w:val="27"/>
        </w:rPr>
      </w:pPr>
      <w:r w:rsidRPr="00E41554">
        <w:rPr>
          <w:iCs/>
          <w:sz w:val="27"/>
          <w:szCs w:val="27"/>
        </w:rPr>
        <w:t>E</w:t>
      </w:r>
      <w:r w:rsidR="00937AE4" w:rsidRPr="00E41554">
        <w:rPr>
          <w:iCs/>
          <w:sz w:val="27"/>
          <w:szCs w:val="27"/>
        </w:rPr>
        <w:t>)</w:t>
      </w:r>
      <w:r w:rsidR="00937AE4" w:rsidRPr="00E41554">
        <w:rPr>
          <w:iCs/>
          <w:sz w:val="27"/>
          <w:szCs w:val="27"/>
        </w:rPr>
        <w:tab/>
      </w:r>
      <w:r w:rsidRPr="00E41554">
        <w:rPr>
          <w:iCs/>
          <w:sz w:val="27"/>
          <w:szCs w:val="27"/>
        </w:rPr>
        <w:t xml:space="preserve">The inadequacy of the grant (PMG) provided to Districts to carry out all development work. </w:t>
      </w:r>
      <w:proofErr w:type="spellStart"/>
      <w:proofErr w:type="gramStart"/>
      <w:r w:rsidRPr="00E41554">
        <w:rPr>
          <w:iCs/>
          <w:sz w:val="27"/>
          <w:szCs w:val="27"/>
        </w:rPr>
        <w:t>i.e</w:t>
      </w:r>
      <w:r w:rsidRPr="00E41554">
        <w:rPr>
          <w:sz w:val="27"/>
          <w:szCs w:val="27"/>
        </w:rPr>
        <w:t>for</w:t>
      </w:r>
      <w:proofErr w:type="spellEnd"/>
      <w:proofErr w:type="gramEnd"/>
      <w:r w:rsidRPr="00E41554">
        <w:rPr>
          <w:sz w:val="27"/>
          <w:szCs w:val="27"/>
        </w:rPr>
        <w:t xml:space="preserve"> Disease control and capital investment especially Disease Diagnostic mini-laboratories.</w:t>
      </w:r>
    </w:p>
    <w:p w:rsidR="002F7024" w:rsidRPr="00E41554" w:rsidRDefault="002F7024" w:rsidP="002F7024">
      <w:pPr>
        <w:jc w:val="both"/>
        <w:rPr>
          <w:sz w:val="27"/>
          <w:szCs w:val="27"/>
        </w:rPr>
      </w:pPr>
    </w:p>
    <w:p w:rsidR="002F7024" w:rsidRPr="00E41554" w:rsidRDefault="002F7024" w:rsidP="002F7024">
      <w:pPr>
        <w:jc w:val="both"/>
        <w:rPr>
          <w:iCs/>
          <w:sz w:val="27"/>
          <w:szCs w:val="27"/>
          <w:u w:val="single"/>
        </w:rPr>
      </w:pPr>
      <w:r w:rsidRPr="00E41554">
        <w:rPr>
          <w:iCs/>
          <w:sz w:val="27"/>
          <w:szCs w:val="27"/>
          <w:u w:val="single"/>
        </w:rPr>
        <w:t>Agreed</w:t>
      </w:r>
    </w:p>
    <w:p w:rsidR="002F7024" w:rsidRPr="00E41554" w:rsidRDefault="002F7024" w:rsidP="002F7024">
      <w:pPr>
        <w:pStyle w:val="ListParagraph"/>
        <w:numPr>
          <w:ilvl w:val="0"/>
          <w:numId w:val="8"/>
        </w:numPr>
        <w:jc w:val="both"/>
        <w:rPr>
          <w:rFonts w:cs="Times New Roman"/>
          <w:iCs/>
          <w:sz w:val="27"/>
          <w:szCs w:val="27"/>
        </w:rPr>
      </w:pPr>
      <w:r w:rsidRPr="00E41554">
        <w:rPr>
          <w:rFonts w:cs="Times New Roman"/>
          <w:iCs/>
          <w:sz w:val="27"/>
          <w:szCs w:val="27"/>
        </w:rPr>
        <w:t xml:space="preserve">The MAAIF should lobby for an increase on the allocation especially considering the high cost of materials for infrastructural development </w:t>
      </w:r>
    </w:p>
    <w:p w:rsidR="002F7024" w:rsidRPr="00E41554" w:rsidRDefault="002F7024" w:rsidP="002F7024">
      <w:pPr>
        <w:pStyle w:val="ListParagraph"/>
        <w:numPr>
          <w:ilvl w:val="0"/>
          <w:numId w:val="8"/>
        </w:numPr>
        <w:jc w:val="both"/>
        <w:rPr>
          <w:rFonts w:cs="Times New Roman"/>
          <w:iCs/>
          <w:sz w:val="27"/>
          <w:szCs w:val="27"/>
        </w:rPr>
      </w:pPr>
      <w:r w:rsidRPr="00E41554">
        <w:rPr>
          <w:rFonts w:cs="Times New Roman"/>
          <w:iCs/>
          <w:sz w:val="27"/>
          <w:szCs w:val="27"/>
        </w:rPr>
        <w:t xml:space="preserve">MAAIF should provide transport (vehicles and motor bicycles) to all LGs to allow for effective field monitoring and supervision </w:t>
      </w:r>
    </w:p>
    <w:p w:rsidR="002F7024" w:rsidRPr="00E41554" w:rsidRDefault="002F7024" w:rsidP="002F7024">
      <w:pPr>
        <w:pStyle w:val="ListParagraph"/>
        <w:numPr>
          <w:ilvl w:val="0"/>
          <w:numId w:val="8"/>
        </w:numPr>
        <w:jc w:val="both"/>
        <w:rPr>
          <w:rFonts w:cs="Times New Roman"/>
          <w:iCs/>
          <w:sz w:val="27"/>
          <w:szCs w:val="27"/>
        </w:rPr>
      </w:pPr>
      <w:r w:rsidRPr="00E41554">
        <w:rPr>
          <w:rFonts w:cs="Times New Roman"/>
          <w:sz w:val="27"/>
          <w:szCs w:val="27"/>
        </w:rPr>
        <w:t>Funding should be increased to facilitate the construction of Disease Control Infrastructures</w:t>
      </w:r>
    </w:p>
    <w:p w:rsidR="002F7024" w:rsidRPr="00E41554" w:rsidRDefault="002F7024" w:rsidP="002F7024">
      <w:pPr>
        <w:ind w:right="-432"/>
        <w:jc w:val="both"/>
        <w:rPr>
          <w:b/>
          <w:sz w:val="27"/>
          <w:szCs w:val="27"/>
        </w:rPr>
      </w:pPr>
    </w:p>
    <w:p w:rsidR="002F7024" w:rsidRPr="00E41554" w:rsidRDefault="002F7024" w:rsidP="002F7024">
      <w:pPr>
        <w:pStyle w:val="ListParagraph"/>
        <w:numPr>
          <w:ilvl w:val="0"/>
          <w:numId w:val="11"/>
        </w:numPr>
        <w:ind w:right="-432"/>
        <w:jc w:val="both"/>
        <w:rPr>
          <w:rFonts w:cs="Times New Roman"/>
          <w:b/>
          <w:sz w:val="27"/>
          <w:szCs w:val="27"/>
        </w:rPr>
      </w:pPr>
      <w:r w:rsidRPr="00E41554">
        <w:rPr>
          <w:rFonts w:cs="Times New Roman"/>
          <w:b/>
          <w:sz w:val="27"/>
          <w:szCs w:val="27"/>
        </w:rPr>
        <w:t>MAAIF will present the need for additional funding of the PMG during the FY 2014/15 budget negotiations and in the issues paper to the MFPED.</w:t>
      </w:r>
    </w:p>
    <w:p w:rsidR="002F7024" w:rsidRPr="00E41554" w:rsidRDefault="002F7024" w:rsidP="002F7024">
      <w:pPr>
        <w:pStyle w:val="ListParagraph"/>
        <w:ind w:left="1080" w:right="-432"/>
        <w:jc w:val="both"/>
        <w:rPr>
          <w:rFonts w:cs="Times New Roman"/>
          <w:b/>
          <w:sz w:val="27"/>
          <w:szCs w:val="27"/>
        </w:rPr>
      </w:pPr>
    </w:p>
    <w:p w:rsidR="002F7024" w:rsidRPr="00E41554" w:rsidRDefault="002F7024" w:rsidP="002F7024">
      <w:pPr>
        <w:pStyle w:val="ListParagraph"/>
        <w:numPr>
          <w:ilvl w:val="0"/>
          <w:numId w:val="11"/>
        </w:numPr>
        <w:ind w:right="-432"/>
        <w:jc w:val="both"/>
        <w:rPr>
          <w:rFonts w:cs="Times New Roman"/>
          <w:b/>
          <w:sz w:val="27"/>
          <w:szCs w:val="27"/>
        </w:rPr>
      </w:pPr>
      <w:r w:rsidRPr="00E41554">
        <w:rPr>
          <w:rFonts w:cs="Times New Roman"/>
          <w:b/>
          <w:sz w:val="27"/>
          <w:szCs w:val="27"/>
        </w:rPr>
        <w:t xml:space="preserve">MAAIF notes however that provision of a vehicle for every district would require over UGX: 14 billion; which is even higher than the current PMG </w:t>
      </w:r>
      <w:r w:rsidRPr="00E41554">
        <w:rPr>
          <w:rFonts w:cs="Times New Roman"/>
          <w:b/>
          <w:sz w:val="27"/>
          <w:szCs w:val="27"/>
        </w:rPr>
        <w:lastRenderedPageBreak/>
        <w:t xml:space="preserve">annual MTEF of 10.04 billion. Therefore, this can only be attained by MAAIF obtaining a conditional budget increment under its </w:t>
      </w:r>
      <w:proofErr w:type="spellStart"/>
      <w:r w:rsidRPr="00E41554">
        <w:rPr>
          <w:rFonts w:cs="Times New Roman"/>
          <w:b/>
          <w:sz w:val="27"/>
          <w:szCs w:val="27"/>
        </w:rPr>
        <w:t>GoU</w:t>
      </w:r>
      <w:proofErr w:type="spellEnd"/>
      <w:r w:rsidRPr="00E41554">
        <w:rPr>
          <w:rFonts w:cs="Times New Roman"/>
          <w:b/>
          <w:sz w:val="27"/>
          <w:szCs w:val="27"/>
        </w:rPr>
        <w:t xml:space="preserve"> Domestic Development Budget. MAAIF will pursue the issue with the MFPED.</w:t>
      </w:r>
    </w:p>
    <w:p w:rsidR="002F7024" w:rsidRPr="00E41554" w:rsidRDefault="002F7024" w:rsidP="002F7024">
      <w:pPr>
        <w:ind w:right="-432"/>
        <w:jc w:val="both"/>
        <w:rPr>
          <w:sz w:val="27"/>
          <w:szCs w:val="27"/>
        </w:rPr>
      </w:pPr>
    </w:p>
    <w:p w:rsidR="002F7024" w:rsidRPr="00E41554" w:rsidRDefault="002F7024" w:rsidP="002F7024">
      <w:pPr>
        <w:ind w:right="-432"/>
        <w:jc w:val="both"/>
        <w:rPr>
          <w:b/>
          <w:sz w:val="27"/>
          <w:szCs w:val="27"/>
        </w:rPr>
      </w:pPr>
    </w:p>
    <w:p w:rsidR="002F7024" w:rsidRPr="00E41554" w:rsidRDefault="002F7024" w:rsidP="002F7024">
      <w:pPr>
        <w:jc w:val="both"/>
        <w:rPr>
          <w:sz w:val="27"/>
          <w:szCs w:val="27"/>
        </w:rPr>
      </w:pPr>
      <w:r w:rsidRPr="00E41554">
        <w:rPr>
          <w:sz w:val="27"/>
          <w:szCs w:val="27"/>
        </w:rPr>
        <w:t>F</w:t>
      </w:r>
      <w:r w:rsidR="00B11899" w:rsidRPr="00E41554">
        <w:rPr>
          <w:sz w:val="27"/>
          <w:szCs w:val="27"/>
        </w:rPr>
        <w:t>)</w:t>
      </w:r>
      <w:r w:rsidR="00B11899" w:rsidRPr="00E41554">
        <w:rPr>
          <w:sz w:val="27"/>
          <w:szCs w:val="27"/>
        </w:rPr>
        <w:tab/>
      </w:r>
      <w:r w:rsidRPr="00E41554">
        <w:rPr>
          <w:sz w:val="27"/>
          <w:szCs w:val="27"/>
        </w:rPr>
        <w:t xml:space="preserve">Restructuring of the Production Department: </w:t>
      </w:r>
      <w:r w:rsidRPr="00E41554">
        <w:rPr>
          <w:iCs/>
          <w:sz w:val="27"/>
          <w:szCs w:val="27"/>
        </w:rPr>
        <w:t xml:space="preserve">Non approval of production structure has continued to create a vacuum in the LGs thereby rendering poor service delivery. The situation is worse at the Sub County level. In addition, </w:t>
      </w:r>
      <w:r w:rsidRPr="00E41554">
        <w:rPr>
          <w:sz w:val="27"/>
          <w:szCs w:val="27"/>
        </w:rPr>
        <w:t xml:space="preserve">the Current structure does not capture some important and relevant functions e.g. Laboratory Technologists or lab technicians for district with laboratories; Food Technologists especially if LGs are to promote value addition; Artificial inseminators which encourage improved breeding and Agri-business which is currently an issue but without a specialist. </w:t>
      </w:r>
    </w:p>
    <w:p w:rsidR="002F7024" w:rsidRPr="00E41554" w:rsidRDefault="002F7024" w:rsidP="002F7024">
      <w:pPr>
        <w:jc w:val="both"/>
        <w:rPr>
          <w:sz w:val="27"/>
          <w:szCs w:val="27"/>
          <w:u w:val="single"/>
        </w:rPr>
      </w:pPr>
    </w:p>
    <w:p w:rsidR="002F7024" w:rsidRPr="00E41554" w:rsidRDefault="002F7024" w:rsidP="002F7024">
      <w:pPr>
        <w:jc w:val="both"/>
        <w:rPr>
          <w:bCs/>
          <w:iCs/>
          <w:sz w:val="27"/>
          <w:szCs w:val="27"/>
          <w:u w:val="single"/>
        </w:rPr>
      </w:pPr>
      <w:r w:rsidRPr="00E41554">
        <w:rPr>
          <w:bCs/>
          <w:iCs/>
          <w:sz w:val="27"/>
          <w:szCs w:val="27"/>
          <w:u w:val="single"/>
        </w:rPr>
        <w:t>Agreed</w:t>
      </w:r>
    </w:p>
    <w:p w:rsidR="002F7024" w:rsidRPr="00E41554" w:rsidRDefault="002F7024" w:rsidP="002F7024">
      <w:pPr>
        <w:pStyle w:val="ListParagraph"/>
        <w:numPr>
          <w:ilvl w:val="0"/>
          <w:numId w:val="7"/>
        </w:numPr>
        <w:ind w:hanging="360"/>
        <w:jc w:val="both"/>
        <w:rPr>
          <w:rFonts w:cs="Times New Roman"/>
          <w:bCs/>
          <w:iCs/>
          <w:sz w:val="27"/>
          <w:szCs w:val="27"/>
        </w:rPr>
      </w:pPr>
      <w:r w:rsidRPr="00E41554">
        <w:rPr>
          <w:rFonts w:cs="Times New Roman"/>
          <w:bCs/>
          <w:iCs/>
          <w:sz w:val="27"/>
          <w:szCs w:val="27"/>
        </w:rPr>
        <w:t>MAAIF and other relevant institutions should expedite the approval of the new production single spine structure at all levels of local governance by December 2013, otherwise the funds to support the structure will not be provided for in the 2014/2015 budget.</w:t>
      </w:r>
    </w:p>
    <w:p w:rsidR="002F7024" w:rsidRPr="00E41554" w:rsidRDefault="002F7024" w:rsidP="002F7024">
      <w:pPr>
        <w:pStyle w:val="ListParagraph"/>
        <w:numPr>
          <w:ilvl w:val="0"/>
          <w:numId w:val="7"/>
        </w:numPr>
        <w:ind w:hanging="360"/>
        <w:jc w:val="both"/>
        <w:rPr>
          <w:rFonts w:cs="Times New Roman"/>
          <w:bCs/>
          <w:iCs/>
          <w:sz w:val="27"/>
          <w:szCs w:val="27"/>
        </w:rPr>
      </w:pPr>
      <w:r w:rsidRPr="00E41554">
        <w:rPr>
          <w:rFonts w:cs="Times New Roman"/>
          <w:bCs/>
          <w:iCs/>
          <w:sz w:val="27"/>
          <w:szCs w:val="27"/>
        </w:rPr>
        <w:t xml:space="preserve">MAAIF should share information on current staffing levels under production and NAADs for planning and budgeting purposes. </w:t>
      </w:r>
    </w:p>
    <w:p w:rsidR="002F7024" w:rsidRPr="00E41554" w:rsidRDefault="002F7024" w:rsidP="002F7024">
      <w:pPr>
        <w:ind w:right="-432"/>
        <w:jc w:val="both"/>
        <w:rPr>
          <w:sz w:val="27"/>
          <w:szCs w:val="27"/>
        </w:rPr>
      </w:pPr>
    </w:p>
    <w:p w:rsidR="002F7024" w:rsidRPr="00E41554" w:rsidRDefault="002F7024" w:rsidP="002F7024">
      <w:pPr>
        <w:pStyle w:val="ListParagraph"/>
        <w:numPr>
          <w:ilvl w:val="0"/>
          <w:numId w:val="12"/>
        </w:numPr>
        <w:jc w:val="both"/>
        <w:rPr>
          <w:rFonts w:cs="Times New Roman"/>
          <w:b/>
          <w:sz w:val="27"/>
          <w:szCs w:val="27"/>
        </w:rPr>
      </w:pPr>
      <w:r w:rsidRPr="00E41554">
        <w:rPr>
          <w:rFonts w:cs="Times New Roman"/>
          <w:b/>
          <w:sz w:val="27"/>
          <w:szCs w:val="27"/>
        </w:rPr>
        <w:t>Ministry will continue to follow up on the matter with the cabinet sub-committee, as the Committee is yet to pronounce itself on this matter; while noting the current Government decision to review the extension services into a single spine extension system.</w:t>
      </w:r>
    </w:p>
    <w:p w:rsidR="002F7024" w:rsidRPr="00E41554" w:rsidRDefault="002F7024" w:rsidP="002F7024">
      <w:pPr>
        <w:pStyle w:val="ListParagraph"/>
        <w:ind w:right="-432"/>
        <w:jc w:val="both"/>
        <w:rPr>
          <w:rFonts w:cs="Times New Roman"/>
          <w:b/>
          <w:sz w:val="27"/>
          <w:szCs w:val="27"/>
        </w:rPr>
      </w:pPr>
    </w:p>
    <w:p w:rsidR="002F7024" w:rsidRPr="00E41554" w:rsidRDefault="002F7024" w:rsidP="002F7024">
      <w:pPr>
        <w:jc w:val="both"/>
        <w:rPr>
          <w:sz w:val="27"/>
          <w:szCs w:val="27"/>
        </w:rPr>
      </w:pPr>
      <w:r w:rsidRPr="00E41554">
        <w:rPr>
          <w:sz w:val="27"/>
          <w:szCs w:val="27"/>
        </w:rPr>
        <w:t>G</w:t>
      </w:r>
      <w:r w:rsidR="00937AE4" w:rsidRPr="00E41554">
        <w:rPr>
          <w:sz w:val="27"/>
          <w:szCs w:val="27"/>
        </w:rPr>
        <w:t>)</w:t>
      </w:r>
      <w:r w:rsidR="00937AE4" w:rsidRPr="00E41554">
        <w:rPr>
          <w:sz w:val="27"/>
          <w:szCs w:val="27"/>
        </w:rPr>
        <w:tab/>
      </w:r>
      <w:r w:rsidRPr="00E41554">
        <w:rPr>
          <w:sz w:val="27"/>
          <w:szCs w:val="27"/>
        </w:rPr>
        <w:t xml:space="preserve">The coming up with an Urban Agriculture Policy is a matter, that has been on table for too long. </w:t>
      </w:r>
    </w:p>
    <w:p w:rsidR="002F7024" w:rsidRPr="00E41554" w:rsidRDefault="002F7024" w:rsidP="002F7024">
      <w:pPr>
        <w:jc w:val="both"/>
        <w:rPr>
          <w:sz w:val="27"/>
          <w:szCs w:val="27"/>
        </w:rPr>
      </w:pPr>
    </w:p>
    <w:p w:rsidR="002F7024" w:rsidRPr="00E41554" w:rsidRDefault="002F7024" w:rsidP="002F7024">
      <w:pPr>
        <w:jc w:val="both"/>
        <w:rPr>
          <w:sz w:val="27"/>
          <w:szCs w:val="27"/>
          <w:u w:val="single"/>
        </w:rPr>
      </w:pPr>
      <w:r w:rsidRPr="00E41554">
        <w:rPr>
          <w:sz w:val="27"/>
          <w:szCs w:val="27"/>
          <w:u w:val="single"/>
        </w:rPr>
        <w:t>Agreed</w:t>
      </w:r>
    </w:p>
    <w:p w:rsidR="002F7024" w:rsidRPr="00E41554" w:rsidRDefault="002F7024" w:rsidP="002F7024">
      <w:pPr>
        <w:pStyle w:val="ListParagraph"/>
        <w:numPr>
          <w:ilvl w:val="0"/>
          <w:numId w:val="9"/>
        </w:numPr>
        <w:jc w:val="both"/>
        <w:rPr>
          <w:rFonts w:cs="Times New Roman"/>
          <w:sz w:val="27"/>
          <w:szCs w:val="27"/>
        </w:rPr>
      </w:pPr>
      <w:r w:rsidRPr="00E41554">
        <w:rPr>
          <w:rFonts w:cs="Times New Roman"/>
          <w:sz w:val="27"/>
          <w:szCs w:val="27"/>
        </w:rPr>
        <w:t>The Ministry should expedite the process of finalizing and sharing the draft policy with relevant stakeholders by December 2013.</w:t>
      </w:r>
    </w:p>
    <w:p w:rsidR="002F7024" w:rsidRPr="00E41554" w:rsidRDefault="002F7024" w:rsidP="002F7024">
      <w:pPr>
        <w:jc w:val="both"/>
        <w:rPr>
          <w:b/>
          <w:sz w:val="27"/>
          <w:szCs w:val="27"/>
        </w:rPr>
      </w:pPr>
    </w:p>
    <w:p w:rsidR="002F7024" w:rsidRPr="00E41554" w:rsidRDefault="002F7024" w:rsidP="002F7024">
      <w:pPr>
        <w:pStyle w:val="ListParagraph"/>
        <w:numPr>
          <w:ilvl w:val="0"/>
          <w:numId w:val="12"/>
        </w:numPr>
        <w:ind w:right="-432"/>
        <w:jc w:val="both"/>
        <w:rPr>
          <w:rFonts w:cs="Times New Roman"/>
          <w:b/>
          <w:sz w:val="27"/>
          <w:szCs w:val="27"/>
        </w:rPr>
      </w:pPr>
      <w:r w:rsidRPr="00E41554">
        <w:rPr>
          <w:rFonts w:cs="Times New Roman"/>
          <w:b/>
          <w:sz w:val="27"/>
          <w:szCs w:val="27"/>
        </w:rPr>
        <w:t>MAAIF is expediting the finalization of the Draft Urban Policy and will soon be presented to MAAIF Top Management for review.</w:t>
      </w:r>
    </w:p>
    <w:p w:rsidR="002F7024" w:rsidRPr="00E41554" w:rsidRDefault="002F7024" w:rsidP="002F7024">
      <w:pPr>
        <w:ind w:right="-432"/>
        <w:jc w:val="both"/>
        <w:rPr>
          <w:b/>
          <w:sz w:val="27"/>
          <w:szCs w:val="27"/>
        </w:rPr>
      </w:pPr>
    </w:p>
    <w:p w:rsidR="002F7024" w:rsidRPr="00E41554" w:rsidRDefault="002F7024" w:rsidP="002F7024">
      <w:pPr>
        <w:jc w:val="both"/>
        <w:rPr>
          <w:b/>
          <w:iCs/>
          <w:sz w:val="27"/>
          <w:szCs w:val="27"/>
        </w:rPr>
      </w:pPr>
      <w:r w:rsidRPr="00E41554">
        <w:rPr>
          <w:b/>
          <w:sz w:val="27"/>
          <w:szCs w:val="27"/>
        </w:rPr>
        <w:t xml:space="preserve">H). </w:t>
      </w:r>
      <w:r w:rsidRPr="00E41554">
        <w:rPr>
          <w:sz w:val="27"/>
          <w:szCs w:val="27"/>
        </w:rPr>
        <w:t xml:space="preserve">National Agricultural Advisory Services Grant NAADS (NAADS Grant) in the FY 2013/14 there was an exclusion of a budget line for community mobilization under the </w:t>
      </w:r>
      <w:proofErr w:type="spellStart"/>
      <w:r w:rsidRPr="00E41554">
        <w:rPr>
          <w:sz w:val="27"/>
          <w:szCs w:val="27"/>
        </w:rPr>
        <w:t>programme</w:t>
      </w:r>
      <w:proofErr w:type="spellEnd"/>
      <w:r w:rsidRPr="00E41554">
        <w:rPr>
          <w:sz w:val="27"/>
          <w:szCs w:val="27"/>
        </w:rPr>
        <w:t>; and the allocation of operational funds to Lower Local Governments does not consider the size of the Lower Local Governments</w:t>
      </w:r>
      <w:r w:rsidRPr="00E41554">
        <w:rPr>
          <w:b/>
          <w:iCs/>
          <w:sz w:val="27"/>
          <w:szCs w:val="27"/>
        </w:rPr>
        <w:t xml:space="preserve">. </w:t>
      </w:r>
    </w:p>
    <w:p w:rsidR="002F7024" w:rsidRPr="00E41554" w:rsidRDefault="002F7024" w:rsidP="002F7024">
      <w:pPr>
        <w:jc w:val="both"/>
        <w:rPr>
          <w:b/>
          <w:iCs/>
          <w:sz w:val="27"/>
          <w:szCs w:val="27"/>
        </w:rPr>
      </w:pPr>
    </w:p>
    <w:p w:rsidR="002F7024" w:rsidRPr="00E41554" w:rsidRDefault="002F7024" w:rsidP="002F7024">
      <w:pPr>
        <w:jc w:val="both"/>
        <w:rPr>
          <w:sz w:val="27"/>
          <w:szCs w:val="27"/>
        </w:rPr>
      </w:pPr>
      <w:r w:rsidRPr="00E41554">
        <w:rPr>
          <w:sz w:val="27"/>
          <w:szCs w:val="27"/>
        </w:rPr>
        <w:t>Therefore; the continuous changes in the NAADS guidelines have caused operational challenges.</w:t>
      </w:r>
    </w:p>
    <w:p w:rsidR="002F7024" w:rsidRPr="00E41554" w:rsidRDefault="002F7024" w:rsidP="002F7024">
      <w:pPr>
        <w:jc w:val="both"/>
        <w:rPr>
          <w:sz w:val="27"/>
          <w:szCs w:val="27"/>
        </w:rPr>
      </w:pPr>
    </w:p>
    <w:p w:rsidR="002F7024" w:rsidRPr="00E41554" w:rsidRDefault="002F7024" w:rsidP="002F7024">
      <w:pPr>
        <w:jc w:val="both"/>
        <w:rPr>
          <w:sz w:val="27"/>
          <w:szCs w:val="27"/>
        </w:rPr>
      </w:pPr>
      <w:r w:rsidRPr="00E41554">
        <w:rPr>
          <w:sz w:val="27"/>
          <w:szCs w:val="27"/>
        </w:rPr>
        <w:lastRenderedPageBreak/>
        <w:t>The clarification is that allocations for operational funds are as per district with the following parameters; area (25%), poverty (20%) and population 55%. The districts then allocate an average to lower local Governments. The size of lower local Governments is not considered due to inadequate statistics on the land area.</w:t>
      </w:r>
    </w:p>
    <w:p w:rsidR="002F7024" w:rsidRPr="00E41554" w:rsidRDefault="002F7024" w:rsidP="002F7024">
      <w:pPr>
        <w:jc w:val="both"/>
        <w:rPr>
          <w:sz w:val="27"/>
          <w:szCs w:val="27"/>
        </w:rPr>
      </w:pPr>
    </w:p>
    <w:p w:rsidR="002F7024" w:rsidRPr="00E41554" w:rsidRDefault="002F7024" w:rsidP="002F7024">
      <w:pPr>
        <w:jc w:val="both"/>
        <w:rPr>
          <w:sz w:val="27"/>
          <w:szCs w:val="27"/>
        </w:rPr>
      </w:pPr>
      <w:r w:rsidRPr="00E41554">
        <w:rPr>
          <w:sz w:val="27"/>
          <w:szCs w:val="27"/>
        </w:rPr>
        <w:t xml:space="preserve">The need for NAADS to emphasize technology transfer to enhance adoption of high quality inputs was noted. </w:t>
      </w:r>
    </w:p>
    <w:p w:rsidR="002F7024" w:rsidRPr="00E41554" w:rsidRDefault="002F7024" w:rsidP="002F7024">
      <w:pPr>
        <w:jc w:val="both"/>
        <w:rPr>
          <w:sz w:val="27"/>
          <w:szCs w:val="27"/>
          <w:u w:val="single"/>
        </w:rPr>
      </w:pPr>
    </w:p>
    <w:p w:rsidR="002F7024" w:rsidRPr="00E41554" w:rsidRDefault="002F7024" w:rsidP="002F7024">
      <w:pPr>
        <w:jc w:val="both"/>
        <w:rPr>
          <w:sz w:val="27"/>
          <w:szCs w:val="27"/>
          <w:u w:val="single"/>
        </w:rPr>
      </w:pPr>
      <w:r w:rsidRPr="00E41554">
        <w:rPr>
          <w:sz w:val="27"/>
          <w:szCs w:val="27"/>
          <w:u w:val="single"/>
        </w:rPr>
        <w:t xml:space="preserve">Agreed </w:t>
      </w:r>
    </w:p>
    <w:p w:rsidR="002F7024" w:rsidRPr="00E41554" w:rsidRDefault="002F7024" w:rsidP="002F7024">
      <w:pPr>
        <w:jc w:val="both"/>
        <w:rPr>
          <w:b/>
          <w:sz w:val="27"/>
          <w:szCs w:val="27"/>
        </w:rPr>
      </w:pPr>
    </w:p>
    <w:p w:rsidR="002F7024" w:rsidRPr="00E41554" w:rsidRDefault="002F7024" w:rsidP="002F7024">
      <w:pPr>
        <w:numPr>
          <w:ilvl w:val="0"/>
          <w:numId w:val="10"/>
        </w:numPr>
        <w:ind w:right="-432"/>
        <w:jc w:val="both"/>
        <w:rPr>
          <w:sz w:val="27"/>
          <w:szCs w:val="27"/>
        </w:rPr>
      </w:pPr>
      <w:r w:rsidRPr="00E41554">
        <w:rPr>
          <w:sz w:val="27"/>
          <w:szCs w:val="27"/>
        </w:rPr>
        <w:t xml:space="preserve">MAAIF should ensure stability of the NAADS guidelines and the users of such guidelines should be consulted in case guidelines are to be reviewed. </w:t>
      </w:r>
    </w:p>
    <w:p w:rsidR="002F7024" w:rsidRPr="00E41554" w:rsidRDefault="002F7024" w:rsidP="002F7024">
      <w:pPr>
        <w:ind w:left="720" w:right="-432"/>
        <w:jc w:val="both"/>
        <w:rPr>
          <w:sz w:val="27"/>
          <w:szCs w:val="27"/>
        </w:rPr>
      </w:pPr>
    </w:p>
    <w:p w:rsidR="002F7024" w:rsidRPr="00E41554" w:rsidRDefault="002F7024" w:rsidP="002F7024">
      <w:pPr>
        <w:numPr>
          <w:ilvl w:val="0"/>
          <w:numId w:val="10"/>
        </w:numPr>
        <w:ind w:right="-432"/>
        <w:jc w:val="both"/>
        <w:rPr>
          <w:sz w:val="27"/>
          <w:szCs w:val="27"/>
        </w:rPr>
      </w:pPr>
      <w:r w:rsidRPr="00E41554">
        <w:rPr>
          <w:sz w:val="27"/>
          <w:szCs w:val="27"/>
        </w:rPr>
        <w:t xml:space="preserve">The technology inputs </w:t>
      </w:r>
      <w:proofErr w:type="gramStart"/>
      <w:r w:rsidRPr="00E41554">
        <w:rPr>
          <w:sz w:val="27"/>
          <w:szCs w:val="27"/>
        </w:rPr>
        <w:t>be</w:t>
      </w:r>
      <w:proofErr w:type="gramEnd"/>
      <w:r w:rsidRPr="00E41554">
        <w:rPr>
          <w:sz w:val="27"/>
          <w:szCs w:val="27"/>
        </w:rPr>
        <w:t xml:space="preserve"> quality assured by subject matter specialists before they are procured.</w:t>
      </w:r>
    </w:p>
    <w:p w:rsidR="002F7024" w:rsidRPr="00E41554" w:rsidRDefault="002F7024" w:rsidP="002F7024">
      <w:pPr>
        <w:pStyle w:val="ListParagraph"/>
        <w:numPr>
          <w:ilvl w:val="0"/>
          <w:numId w:val="12"/>
        </w:numPr>
        <w:ind w:right="-432"/>
        <w:jc w:val="both"/>
        <w:rPr>
          <w:rFonts w:cs="Times New Roman"/>
          <w:b/>
          <w:sz w:val="27"/>
          <w:szCs w:val="27"/>
        </w:rPr>
      </w:pPr>
      <w:r w:rsidRPr="00E41554">
        <w:rPr>
          <w:rFonts w:cs="Times New Roman"/>
          <w:b/>
          <w:sz w:val="27"/>
          <w:szCs w:val="27"/>
        </w:rPr>
        <w:t>MAAIF will pursue the refining of the NAADS guidelines to match with the annual work plans (OBT outputs) with quarterly funds release advises from the NAADS Secretariat. This will ensure harmonization of the quarterly financial and progress reports from districts/sub counties with the release advises.</w:t>
      </w:r>
    </w:p>
    <w:p w:rsidR="002F7024" w:rsidRPr="00E41554" w:rsidRDefault="002F7024" w:rsidP="002F7024">
      <w:pPr>
        <w:ind w:right="-432"/>
        <w:jc w:val="both"/>
        <w:rPr>
          <w:sz w:val="27"/>
          <w:szCs w:val="27"/>
        </w:rPr>
      </w:pPr>
    </w:p>
    <w:p w:rsidR="002F7024" w:rsidRPr="00E41554" w:rsidRDefault="002F7024" w:rsidP="002F7024">
      <w:pPr>
        <w:pStyle w:val="ListParagraph"/>
        <w:ind w:left="0"/>
        <w:jc w:val="both"/>
        <w:rPr>
          <w:rFonts w:cs="Times New Roman"/>
          <w:sz w:val="27"/>
          <w:szCs w:val="27"/>
        </w:rPr>
      </w:pPr>
      <w:r w:rsidRPr="00E41554">
        <w:rPr>
          <w:rFonts w:cs="Times New Roman"/>
          <w:sz w:val="27"/>
          <w:szCs w:val="27"/>
        </w:rPr>
        <w:t xml:space="preserve">I). Fisheries activities in LGs: Local Governments have continued to express concern over the fact that since MAAIF took over the licensing of boats mandate from the Local Governments, it has been impossible for Local Governments to raise revenue from this area and yet in accordance with the Local Governments Act Cap 243, boat </w:t>
      </w:r>
      <w:proofErr w:type="spellStart"/>
      <w:r w:rsidRPr="00E41554">
        <w:rPr>
          <w:rFonts w:cs="Times New Roman"/>
          <w:sz w:val="27"/>
          <w:szCs w:val="27"/>
        </w:rPr>
        <w:t>licence</w:t>
      </w:r>
      <w:proofErr w:type="spellEnd"/>
      <w:r w:rsidRPr="00E41554">
        <w:rPr>
          <w:rFonts w:cs="Times New Roman"/>
          <w:sz w:val="27"/>
          <w:szCs w:val="27"/>
        </w:rPr>
        <w:t xml:space="preserve"> is one of the listed sources of local revenue for Local Government.</w:t>
      </w:r>
    </w:p>
    <w:p w:rsidR="002F7024" w:rsidRPr="00E41554" w:rsidRDefault="002F7024" w:rsidP="002F7024">
      <w:pPr>
        <w:contextualSpacing/>
        <w:jc w:val="both"/>
        <w:rPr>
          <w:sz w:val="27"/>
          <w:szCs w:val="27"/>
        </w:rPr>
      </w:pPr>
    </w:p>
    <w:p w:rsidR="002F7024" w:rsidRPr="00E41554" w:rsidRDefault="002F7024" w:rsidP="002F7024">
      <w:pPr>
        <w:contextualSpacing/>
        <w:jc w:val="both"/>
        <w:rPr>
          <w:sz w:val="27"/>
          <w:szCs w:val="27"/>
        </w:rPr>
      </w:pPr>
      <w:r w:rsidRPr="00E41554">
        <w:rPr>
          <w:sz w:val="27"/>
          <w:szCs w:val="27"/>
        </w:rPr>
        <w:t>On the other hand the Ministry maintained that the regulatory function is vested in MAAIF under the Fish Act Cap 197, and accordingly it recentralized the issuance of license and collection of fees therefore from.</w:t>
      </w:r>
    </w:p>
    <w:p w:rsidR="002F7024" w:rsidRPr="00E41554" w:rsidRDefault="002F7024" w:rsidP="002F7024">
      <w:pPr>
        <w:contextualSpacing/>
        <w:jc w:val="both"/>
        <w:rPr>
          <w:sz w:val="27"/>
          <w:szCs w:val="27"/>
        </w:rPr>
      </w:pPr>
    </w:p>
    <w:p w:rsidR="002F7024" w:rsidRPr="00E41554" w:rsidRDefault="002F7024" w:rsidP="002F7024">
      <w:pPr>
        <w:numPr>
          <w:ilvl w:val="0"/>
          <w:numId w:val="12"/>
        </w:numPr>
        <w:contextualSpacing/>
        <w:jc w:val="both"/>
        <w:rPr>
          <w:b/>
          <w:bCs/>
          <w:sz w:val="27"/>
          <w:szCs w:val="27"/>
        </w:rPr>
      </w:pPr>
      <w:r w:rsidRPr="00E41554">
        <w:rPr>
          <w:b/>
          <w:bCs/>
          <w:sz w:val="27"/>
          <w:szCs w:val="27"/>
        </w:rPr>
        <w:t xml:space="preserve">The Local Government Finance Commission/MAAIF </w:t>
      </w:r>
      <w:proofErr w:type="gramStart"/>
      <w:r w:rsidRPr="00E41554">
        <w:rPr>
          <w:b/>
          <w:bCs/>
          <w:sz w:val="27"/>
          <w:szCs w:val="27"/>
        </w:rPr>
        <w:t>are</w:t>
      </w:r>
      <w:proofErr w:type="gramEnd"/>
      <w:r w:rsidRPr="00E41554">
        <w:rPr>
          <w:b/>
          <w:bCs/>
          <w:sz w:val="27"/>
          <w:szCs w:val="27"/>
        </w:rPr>
        <w:t xml:space="preserve"> to refer this matter to the Solicitor General for legal interpretation and provide the necessary feedback to concerned parties.</w:t>
      </w:r>
    </w:p>
    <w:p w:rsidR="002F7024" w:rsidRPr="00E41554" w:rsidRDefault="002F7024" w:rsidP="002F7024">
      <w:pPr>
        <w:ind w:right="-432"/>
        <w:jc w:val="both"/>
        <w:rPr>
          <w:sz w:val="27"/>
          <w:szCs w:val="27"/>
        </w:rPr>
      </w:pPr>
    </w:p>
    <w:p w:rsidR="002F7024" w:rsidRPr="00E41554" w:rsidRDefault="002F7024" w:rsidP="002F7024">
      <w:pPr>
        <w:ind w:right="-432"/>
        <w:jc w:val="both"/>
        <w:rPr>
          <w:b/>
          <w:sz w:val="27"/>
          <w:szCs w:val="27"/>
        </w:rPr>
      </w:pPr>
      <w:r w:rsidRPr="00E41554">
        <w:rPr>
          <w:b/>
          <w:sz w:val="27"/>
          <w:szCs w:val="27"/>
        </w:rPr>
        <w:t>OBLIGATIONS OF THE LOCAL GOVERNMENTS (FOR NOTING; TO BE IMPLEMENTED BY THE LOCAL GOVERNMENTS)</w:t>
      </w:r>
    </w:p>
    <w:p w:rsidR="002F7024" w:rsidRPr="00E41554" w:rsidRDefault="002F7024" w:rsidP="002F7024">
      <w:pPr>
        <w:numPr>
          <w:ilvl w:val="0"/>
          <w:numId w:val="2"/>
        </w:numPr>
        <w:tabs>
          <w:tab w:val="num" w:pos="1080"/>
        </w:tabs>
        <w:spacing w:before="120"/>
        <w:ind w:right="-432"/>
        <w:jc w:val="both"/>
        <w:rPr>
          <w:sz w:val="27"/>
          <w:szCs w:val="27"/>
          <w:lang w:val="en-GB"/>
        </w:rPr>
      </w:pPr>
      <w:r w:rsidRPr="00E41554">
        <w:rPr>
          <w:sz w:val="27"/>
          <w:szCs w:val="27"/>
        </w:rPr>
        <w:t xml:space="preserve">The UNAT through their Constituent organizations shall disseminate to their members the agreements and highlight the obligations of the local governments.  </w:t>
      </w:r>
    </w:p>
    <w:p w:rsidR="002F7024" w:rsidRPr="00E41554" w:rsidRDefault="002F7024" w:rsidP="002F7024">
      <w:pPr>
        <w:numPr>
          <w:ilvl w:val="0"/>
          <w:numId w:val="2"/>
        </w:numPr>
        <w:tabs>
          <w:tab w:val="num" w:pos="1080"/>
        </w:tabs>
        <w:spacing w:before="120"/>
        <w:ind w:right="-432"/>
        <w:jc w:val="both"/>
        <w:rPr>
          <w:sz w:val="27"/>
          <w:szCs w:val="27"/>
          <w:lang w:val="en-GB"/>
        </w:rPr>
      </w:pPr>
      <w:r w:rsidRPr="00E41554">
        <w:rPr>
          <w:sz w:val="27"/>
          <w:szCs w:val="27"/>
        </w:rPr>
        <w:t>Implement their programmes based on the guidelines issued by the MAAIF.</w:t>
      </w:r>
    </w:p>
    <w:p w:rsidR="002F7024" w:rsidRPr="00E41554" w:rsidRDefault="002F7024" w:rsidP="002F7024">
      <w:pPr>
        <w:numPr>
          <w:ilvl w:val="0"/>
          <w:numId w:val="2"/>
        </w:numPr>
        <w:tabs>
          <w:tab w:val="num" w:pos="1080"/>
        </w:tabs>
        <w:spacing w:before="120"/>
        <w:ind w:right="-432"/>
        <w:jc w:val="both"/>
        <w:rPr>
          <w:sz w:val="27"/>
          <w:szCs w:val="27"/>
          <w:lang w:val="en-GB"/>
        </w:rPr>
      </w:pPr>
      <w:r w:rsidRPr="00E41554">
        <w:rPr>
          <w:sz w:val="27"/>
          <w:szCs w:val="27"/>
        </w:rPr>
        <w:t>Ensure timely response to issues raised by the Agricultural Ministry.</w:t>
      </w:r>
    </w:p>
    <w:p w:rsidR="002F7024" w:rsidRPr="00E41554" w:rsidRDefault="002F7024" w:rsidP="002F7024">
      <w:pPr>
        <w:numPr>
          <w:ilvl w:val="0"/>
          <w:numId w:val="2"/>
        </w:numPr>
        <w:tabs>
          <w:tab w:val="num" w:pos="1080"/>
        </w:tabs>
        <w:spacing w:before="120"/>
        <w:ind w:right="-432"/>
        <w:jc w:val="both"/>
        <w:rPr>
          <w:sz w:val="27"/>
          <w:szCs w:val="27"/>
          <w:lang w:val="en-GB"/>
        </w:rPr>
      </w:pPr>
      <w:r w:rsidRPr="00E41554">
        <w:rPr>
          <w:sz w:val="27"/>
          <w:szCs w:val="27"/>
        </w:rPr>
        <w:t xml:space="preserve">Provide timely and accurate data on their plans, achievements and status of Agriculture, Animal Industry and Fisheries activities. </w:t>
      </w:r>
    </w:p>
    <w:p w:rsidR="002F7024" w:rsidRPr="00E41554" w:rsidRDefault="002F7024" w:rsidP="002F7024">
      <w:pPr>
        <w:numPr>
          <w:ilvl w:val="0"/>
          <w:numId w:val="2"/>
        </w:numPr>
        <w:tabs>
          <w:tab w:val="num" w:pos="1080"/>
        </w:tabs>
        <w:spacing w:before="120"/>
        <w:ind w:right="-432"/>
        <w:jc w:val="both"/>
        <w:rPr>
          <w:sz w:val="27"/>
          <w:szCs w:val="27"/>
          <w:lang w:val="en-GB"/>
        </w:rPr>
      </w:pPr>
      <w:r w:rsidRPr="00E41554">
        <w:rPr>
          <w:sz w:val="27"/>
          <w:szCs w:val="27"/>
        </w:rPr>
        <w:lastRenderedPageBreak/>
        <w:t>Share the agreed positions with the Parliamentary Committee on Local Government and Public Service and the Office of the Prime Minister.</w:t>
      </w:r>
      <w:r w:rsidRPr="00E41554">
        <w:rPr>
          <w:sz w:val="27"/>
          <w:szCs w:val="27"/>
        </w:rPr>
        <w:tab/>
      </w:r>
    </w:p>
    <w:p w:rsidR="002F7024" w:rsidRPr="00E41554" w:rsidRDefault="002F7024" w:rsidP="002F7024">
      <w:pPr>
        <w:tabs>
          <w:tab w:val="num" w:pos="1080"/>
        </w:tabs>
        <w:spacing w:before="120"/>
        <w:ind w:right="-432"/>
        <w:jc w:val="both"/>
        <w:rPr>
          <w:sz w:val="27"/>
          <w:szCs w:val="27"/>
          <w:lang w:val="en-GB"/>
        </w:rPr>
      </w:pPr>
    </w:p>
    <w:p w:rsidR="002F7024" w:rsidRPr="00E41554" w:rsidRDefault="002F7024" w:rsidP="002F7024">
      <w:pPr>
        <w:ind w:left="720" w:right="-432" w:hanging="720"/>
        <w:jc w:val="both"/>
        <w:rPr>
          <w:b/>
          <w:sz w:val="27"/>
          <w:szCs w:val="27"/>
        </w:rPr>
      </w:pPr>
      <w:r w:rsidRPr="00E41554">
        <w:rPr>
          <w:b/>
          <w:sz w:val="27"/>
          <w:szCs w:val="27"/>
        </w:rPr>
        <w:t>Mid-term Review (April 2014)</w:t>
      </w:r>
    </w:p>
    <w:p w:rsidR="002F7024" w:rsidRPr="00E41554" w:rsidRDefault="002F7024" w:rsidP="002F7024">
      <w:pPr>
        <w:spacing w:before="120"/>
        <w:ind w:left="720" w:right="-432" w:hanging="720"/>
        <w:jc w:val="both"/>
        <w:rPr>
          <w:sz w:val="27"/>
          <w:szCs w:val="27"/>
        </w:rPr>
      </w:pPr>
      <w:r w:rsidRPr="00E41554">
        <w:rPr>
          <w:sz w:val="27"/>
          <w:szCs w:val="27"/>
        </w:rPr>
        <w:tab/>
      </w:r>
    </w:p>
    <w:p w:rsidR="002F7024" w:rsidRPr="00E41554" w:rsidRDefault="002F7024" w:rsidP="002F7024">
      <w:pPr>
        <w:pStyle w:val="BodyText"/>
        <w:numPr>
          <w:ilvl w:val="0"/>
          <w:numId w:val="5"/>
        </w:numPr>
        <w:ind w:left="567" w:right="-432" w:hanging="567"/>
        <w:rPr>
          <w:sz w:val="27"/>
          <w:szCs w:val="27"/>
        </w:rPr>
      </w:pPr>
      <w:r w:rsidRPr="00E41554">
        <w:rPr>
          <w:sz w:val="27"/>
          <w:szCs w:val="27"/>
        </w:rPr>
        <w:t xml:space="preserve">There shall be a Joint Technical Committee (JTC) comprising of six (6) members drawn in the following ratio </w:t>
      </w:r>
    </w:p>
    <w:p w:rsidR="002F7024" w:rsidRPr="00E41554" w:rsidRDefault="002F7024" w:rsidP="002F7024">
      <w:pPr>
        <w:pStyle w:val="BodyText"/>
        <w:ind w:left="360" w:right="-432"/>
        <w:rPr>
          <w:sz w:val="27"/>
          <w:szCs w:val="27"/>
        </w:rPr>
      </w:pPr>
    </w:p>
    <w:p w:rsidR="002F7024" w:rsidRPr="00E41554" w:rsidRDefault="002F7024" w:rsidP="002F7024">
      <w:pPr>
        <w:pStyle w:val="BodyText"/>
        <w:numPr>
          <w:ilvl w:val="0"/>
          <w:numId w:val="3"/>
        </w:numPr>
        <w:ind w:right="-432"/>
        <w:rPr>
          <w:sz w:val="27"/>
          <w:szCs w:val="27"/>
        </w:rPr>
      </w:pPr>
      <w:r w:rsidRPr="00E41554">
        <w:rPr>
          <w:sz w:val="27"/>
          <w:szCs w:val="27"/>
        </w:rPr>
        <w:t>Local Governments Finance Commission: 1</w:t>
      </w:r>
    </w:p>
    <w:p w:rsidR="002F7024" w:rsidRPr="00E41554" w:rsidRDefault="002F7024" w:rsidP="002F7024">
      <w:pPr>
        <w:pStyle w:val="BodyText"/>
        <w:numPr>
          <w:ilvl w:val="0"/>
          <w:numId w:val="3"/>
        </w:numPr>
        <w:ind w:right="-432"/>
        <w:rPr>
          <w:sz w:val="27"/>
          <w:szCs w:val="27"/>
        </w:rPr>
      </w:pPr>
      <w:r w:rsidRPr="00E41554">
        <w:rPr>
          <w:sz w:val="27"/>
          <w:szCs w:val="27"/>
        </w:rPr>
        <w:t>Uganda Local Governments Association:  1</w:t>
      </w:r>
    </w:p>
    <w:p w:rsidR="002F7024" w:rsidRPr="00E41554" w:rsidRDefault="002F7024" w:rsidP="002F7024">
      <w:pPr>
        <w:pStyle w:val="BodyText"/>
        <w:numPr>
          <w:ilvl w:val="0"/>
          <w:numId w:val="3"/>
        </w:numPr>
        <w:ind w:right="-432"/>
        <w:rPr>
          <w:sz w:val="27"/>
          <w:szCs w:val="27"/>
        </w:rPr>
      </w:pPr>
      <w:r w:rsidRPr="00E41554">
        <w:rPr>
          <w:sz w:val="27"/>
          <w:szCs w:val="27"/>
        </w:rPr>
        <w:t>Urban Authorities Association of Uganda :1</w:t>
      </w:r>
    </w:p>
    <w:p w:rsidR="002F7024" w:rsidRPr="00E41554" w:rsidRDefault="002F7024" w:rsidP="002F7024">
      <w:pPr>
        <w:pStyle w:val="BodyText"/>
        <w:numPr>
          <w:ilvl w:val="0"/>
          <w:numId w:val="3"/>
        </w:numPr>
        <w:ind w:right="-432"/>
        <w:rPr>
          <w:sz w:val="27"/>
          <w:szCs w:val="27"/>
        </w:rPr>
      </w:pPr>
      <w:r w:rsidRPr="00E41554">
        <w:rPr>
          <w:sz w:val="27"/>
          <w:szCs w:val="27"/>
        </w:rPr>
        <w:t>Sector Ministries: 2 from sector</w:t>
      </w:r>
    </w:p>
    <w:p w:rsidR="002F7024" w:rsidRPr="00E41554" w:rsidRDefault="002F7024" w:rsidP="002F7024">
      <w:pPr>
        <w:pStyle w:val="BodyText"/>
        <w:numPr>
          <w:ilvl w:val="0"/>
          <w:numId w:val="3"/>
        </w:numPr>
        <w:ind w:right="-432"/>
        <w:rPr>
          <w:sz w:val="27"/>
          <w:szCs w:val="27"/>
        </w:rPr>
      </w:pPr>
      <w:r w:rsidRPr="00E41554">
        <w:rPr>
          <w:sz w:val="27"/>
          <w:szCs w:val="27"/>
        </w:rPr>
        <w:t>Office of the Prime Minister: 1</w:t>
      </w:r>
    </w:p>
    <w:p w:rsidR="002F7024" w:rsidRPr="00E41554" w:rsidRDefault="002F7024" w:rsidP="002F7024">
      <w:pPr>
        <w:pStyle w:val="BodyText"/>
        <w:ind w:left="360" w:right="-432"/>
        <w:rPr>
          <w:b/>
          <w:i/>
          <w:sz w:val="27"/>
          <w:szCs w:val="27"/>
          <w:shd w:val="clear" w:color="auto" w:fill="CC99FF"/>
        </w:rPr>
      </w:pPr>
    </w:p>
    <w:p w:rsidR="002F7024" w:rsidRPr="00E41554" w:rsidRDefault="002F7024" w:rsidP="002F7024">
      <w:pPr>
        <w:pStyle w:val="BodyText"/>
        <w:ind w:left="360" w:right="-432" w:hanging="360"/>
        <w:rPr>
          <w:sz w:val="27"/>
          <w:szCs w:val="27"/>
        </w:rPr>
      </w:pPr>
      <w:r w:rsidRPr="00E41554">
        <w:rPr>
          <w:sz w:val="27"/>
          <w:szCs w:val="27"/>
        </w:rPr>
        <w:t>(2)</w:t>
      </w:r>
      <w:r w:rsidRPr="00E41554">
        <w:rPr>
          <w:sz w:val="27"/>
          <w:szCs w:val="27"/>
        </w:rPr>
        <w:tab/>
        <w:t>It is agreed that the following shall be ex-officio members to the Committee for purposes of providing technical guidance.</w:t>
      </w:r>
    </w:p>
    <w:p w:rsidR="002F7024" w:rsidRPr="00E41554" w:rsidRDefault="002F7024" w:rsidP="002F7024">
      <w:pPr>
        <w:pStyle w:val="BodyText"/>
        <w:numPr>
          <w:ilvl w:val="0"/>
          <w:numId w:val="3"/>
        </w:numPr>
        <w:ind w:right="-432"/>
        <w:rPr>
          <w:sz w:val="27"/>
          <w:szCs w:val="27"/>
        </w:rPr>
      </w:pPr>
      <w:r w:rsidRPr="00E41554">
        <w:rPr>
          <w:sz w:val="27"/>
          <w:szCs w:val="27"/>
        </w:rPr>
        <w:t xml:space="preserve">Ministry of Finance : 1 </w:t>
      </w:r>
    </w:p>
    <w:p w:rsidR="002F7024" w:rsidRPr="00E41554" w:rsidRDefault="002F7024" w:rsidP="002F7024">
      <w:pPr>
        <w:pStyle w:val="BodyText"/>
        <w:numPr>
          <w:ilvl w:val="0"/>
          <w:numId w:val="3"/>
        </w:numPr>
        <w:ind w:right="-432"/>
        <w:rPr>
          <w:sz w:val="27"/>
          <w:szCs w:val="27"/>
        </w:rPr>
      </w:pPr>
      <w:r w:rsidRPr="00E41554">
        <w:rPr>
          <w:sz w:val="27"/>
          <w:szCs w:val="27"/>
        </w:rPr>
        <w:t>Ministry of Local Government:  1</w:t>
      </w:r>
    </w:p>
    <w:p w:rsidR="002F7024" w:rsidRPr="00E41554" w:rsidRDefault="002F7024" w:rsidP="002F7024">
      <w:pPr>
        <w:pStyle w:val="BodyText"/>
        <w:numPr>
          <w:ilvl w:val="0"/>
          <w:numId w:val="3"/>
        </w:numPr>
        <w:ind w:right="-432"/>
        <w:rPr>
          <w:sz w:val="27"/>
          <w:szCs w:val="27"/>
        </w:rPr>
      </w:pPr>
      <w:r w:rsidRPr="00E41554">
        <w:rPr>
          <w:sz w:val="27"/>
          <w:szCs w:val="27"/>
        </w:rPr>
        <w:t>Ministry of Public Service: 1</w:t>
      </w:r>
    </w:p>
    <w:p w:rsidR="002F7024" w:rsidRPr="00E41554" w:rsidRDefault="002F7024" w:rsidP="002F7024">
      <w:pPr>
        <w:pStyle w:val="BodyText"/>
        <w:numPr>
          <w:ilvl w:val="0"/>
          <w:numId w:val="3"/>
        </w:numPr>
        <w:ind w:right="-432"/>
        <w:rPr>
          <w:sz w:val="27"/>
          <w:szCs w:val="27"/>
        </w:rPr>
      </w:pPr>
      <w:r w:rsidRPr="00E41554">
        <w:rPr>
          <w:sz w:val="27"/>
          <w:szCs w:val="27"/>
        </w:rPr>
        <w:t>National Planning Authority: 1</w:t>
      </w:r>
    </w:p>
    <w:p w:rsidR="002F7024" w:rsidRPr="00E41554" w:rsidRDefault="002F7024" w:rsidP="002F7024">
      <w:pPr>
        <w:pStyle w:val="BodyText"/>
        <w:ind w:left="360" w:right="-432"/>
        <w:rPr>
          <w:b/>
          <w:i/>
          <w:sz w:val="27"/>
          <w:szCs w:val="27"/>
          <w:shd w:val="clear" w:color="auto" w:fill="CC99FF"/>
        </w:rPr>
      </w:pPr>
    </w:p>
    <w:p w:rsidR="002F7024" w:rsidRPr="00E41554" w:rsidRDefault="002F7024" w:rsidP="002F7024">
      <w:pPr>
        <w:pStyle w:val="BodyText"/>
        <w:ind w:left="360" w:right="-432" w:hanging="360"/>
        <w:rPr>
          <w:sz w:val="27"/>
          <w:szCs w:val="27"/>
        </w:rPr>
      </w:pPr>
      <w:r w:rsidRPr="00E41554">
        <w:rPr>
          <w:sz w:val="27"/>
          <w:szCs w:val="27"/>
        </w:rPr>
        <w:t>(3)</w:t>
      </w:r>
      <w:r w:rsidRPr="00E41554">
        <w:rPr>
          <w:sz w:val="27"/>
          <w:szCs w:val="27"/>
        </w:rPr>
        <w:tab/>
        <w:t>It is further agreed that Local Government Finance Commission shall be the organizer and Chair of the JTC</w:t>
      </w:r>
    </w:p>
    <w:p w:rsidR="002F7024" w:rsidRPr="00E41554" w:rsidRDefault="002F7024" w:rsidP="002F7024">
      <w:pPr>
        <w:pStyle w:val="BodyText"/>
        <w:ind w:left="360" w:right="-432" w:hanging="360"/>
        <w:rPr>
          <w:sz w:val="27"/>
          <w:szCs w:val="27"/>
        </w:rPr>
      </w:pPr>
    </w:p>
    <w:p w:rsidR="002F7024" w:rsidRPr="00E41554" w:rsidRDefault="002F7024" w:rsidP="002F7024">
      <w:pPr>
        <w:pStyle w:val="BodyText"/>
        <w:ind w:left="360" w:right="-432" w:hanging="360"/>
        <w:rPr>
          <w:sz w:val="27"/>
          <w:szCs w:val="27"/>
        </w:rPr>
      </w:pPr>
      <w:r w:rsidRPr="00E41554">
        <w:rPr>
          <w:sz w:val="27"/>
          <w:szCs w:val="27"/>
        </w:rPr>
        <w:t>(4)</w:t>
      </w:r>
      <w:r w:rsidRPr="00E41554">
        <w:rPr>
          <w:sz w:val="27"/>
          <w:szCs w:val="27"/>
        </w:rPr>
        <w:tab/>
        <w:t>It is agreed that the following shall be the terms of reference (TORs) for the Joint Technical Committee.</w:t>
      </w:r>
    </w:p>
    <w:p w:rsidR="002F7024" w:rsidRPr="00E41554" w:rsidRDefault="002F7024" w:rsidP="002F7024">
      <w:pPr>
        <w:pStyle w:val="BodyText"/>
        <w:ind w:left="360" w:right="-432" w:hanging="360"/>
        <w:rPr>
          <w:sz w:val="27"/>
          <w:szCs w:val="27"/>
        </w:rPr>
      </w:pP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Oversee implementation of the agreements and monitor the progress of either party.</w:t>
      </w: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Ensure that the Agreements are disseminated to all stakeholders.</w:t>
      </w: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Conduct a midterm review of the implementation process so as to obtain feedback and disseminate it to the parties.</w:t>
      </w: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 xml:space="preserve">Identify the non complying parties and make recommendations to </w:t>
      </w:r>
      <w:proofErr w:type="spellStart"/>
      <w:r w:rsidRPr="00E41554">
        <w:rPr>
          <w:sz w:val="27"/>
          <w:szCs w:val="27"/>
        </w:rPr>
        <w:t>MoFPED</w:t>
      </w:r>
      <w:proofErr w:type="spellEnd"/>
      <w:r w:rsidRPr="00E41554">
        <w:rPr>
          <w:sz w:val="27"/>
          <w:szCs w:val="27"/>
        </w:rPr>
        <w:t>, and Office of the Prime Minister for appropriate sanction</w:t>
      </w: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Handle any other upcoming issues.</w:t>
      </w: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The Joint Technical Committee shall report to the respective Policy Organs of their Institutions.</w:t>
      </w:r>
    </w:p>
    <w:p w:rsidR="002F7024" w:rsidRPr="00E41554" w:rsidRDefault="002F7024" w:rsidP="002F7024">
      <w:pPr>
        <w:pStyle w:val="BodyText"/>
        <w:numPr>
          <w:ilvl w:val="0"/>
          <w:numId w:val="4"/>
        </w:numPr>
        <w:tabs>
          <w:tab w:val="num" w:pos="1080"/>
        </w:tabs>
        <w:ind w:right="-432"/>
        <w:rPr>
          <w:sz w:val="27"/>
          <w:szCs w:val="27"/>
        </w:rPr>
      </w:pPr>
      <w:r w:rsidRPr="00E41554">
        <w:rPr>
          <w:sz w:val="27"/>
          <w:szCs w:val="27"/>
        </w:rPr>
        <w:t>Any other activity that may be agreed upon by the parties.</w:t>
      </w:r>
    </w:p>
    <w:p w:rsidR="002F7024" w:rsidRPr="00E41554" w:rsidRDefault="002F7024" w:rsidP="002F7024">
      <w:pPr>
        <w:jc w:val="both"/>
        <w:rPr>
          <w:b/>
          <w:sz w:val="27"/>
          <w:szCs w:val="27"/>
        </w:rPr>
      </w:pPr>
    </w:p>
    <w:p w:rsidR="002F7024" w:rsidRDefault="002F7024" w:rsidP="002F7024">
      <w:pPr>
        <w:jc w:val="both"/>
        <w:rPr>
          <w:sz w:val="27"/>
          <w:szCs w:val="27"/>
        </w:rPr>
      </w:pPr>
    </w:p>
    <w:p w:rsidR="00DF383B" w:rsidRDefault="00DF383B" w:rsidP="002F7024">
      <w:pPr>
        <w:jc w:val="both"/>
        <w:rPr>
          <w:sz w:val="27"/>
          <w:szCs w:val="27"/>
        </w:rPr>
      </w:pPr>
    </w:p>
    <w:p w:rsidR="00DF383B" w:rsidRPr="00E41554" w:rsidRDefault="00DF383B" w:rsidP="002F7024">
      <w:pPr>
        <w:jc w:val="both"/>
        <w:rPr>
          <w:sz w:val="27"/>
          <w:szCs w:val="27"/>
        </w:rPr>
      </w:pPr>
    </w:p>
    <w:p w:rsidR="002F7024" w:rsidRPr="00E41554" w:rsidRDefault="002F7024" w:rsidP="002F7024">
      <w:pPr>
        <w:jc w:val="both"/>
        <w:rPr>
          <w:b/>
          <w:bCs/>
          <w:sz w:val="27"/>
          <w:szCs w:val="27"/>
        </w:rPr>
      </w:pPr>
      <w:r w:rsidRPr="00E41554">
        <w:rPr>
          <w:b/>
          <w:bCs/>
          <w:sz w:val="27"/>
          <w:szCs w:val="27"/>
        </w:rPr>
        <w:lastRenderedPageBreak/>
        <w:t>3.0 RESPONSE TO THE QUESTIONS RAISED IN LGBFP 2011/12 (NOTE THAT THERE WERE NO BUDGET WORKSHOPS IN THE PREPARATION OF THE BUDGET FOR FY 2012/13)</w:t>
      </w:r>
    </w:p>
    <w:p w:rsidR="002F7024" w:rsidRPr="00E41554" w:rsidRDefault="002F7024" w:rsidP="002F7024">
      <w:pPr>
        <w:jc w:val="both"/>
        <w:rPr>
          <w:b/>
          <w:sz w:val="27"/>
          <w:szCs w:val="27"/>
        </w:rPr>
      </w:pPr>
    </w:p>
    <w:p w:rsidR="002F7024" w:rsidRPr="00E41554" w:rsidRDefault="002F7024" w:rsidP="002F7024">
      <w:pPr>
        <w:numPr>
          <w:ilvl w:val="0"/>
          <w:numId w:val="13"/>
        </w:numPr>
        <w:jc w:val="both"/>
        <w:rPr>
          <w:sz w:val="27"/>
          <w:szCs w:val="27"/>
        </w:rPr>
      </w:pPr>
      <w:r w:rsidRPr="00E41554">
        <w:rPr>
          <w:sz w:val="27"/>
          <w:szCs w:val="27"/>
          <w:lang w:val="en-GB"/>
        </w:rPr>
        <w:t xml:space="preserve">During the FY 2011/12, the salary of extension staff was budgeted for under the LG’s. However, there was concern that numbers provided by MAAIF do not correspond with the exact number of agric extension workers in some LG’s. </w:t>
      </w:r>
    </w:p>
    <w:p w:rsidR="002F7024" w:rsidRPr="00E41554" w:rsidRDefault="002F7024" w:rsidP="002F7024">
      <w:pPr>
        <w:jc w:val="both"/>
        <w:rPr>
          <w:b/>
          <w:bCs/>
          <w:sz w:val="27"/>
          <w:szCs w:val="27"/>
          <w:lang w:val="en-GB"/>
        </w:rPr>
      </w:pPr>
    </w:p>
    <w:p w:rsidR="002F7024" w:rsidRPr="00E41554" w:rsidRDefault="002F7024" w:rsidP="002F7024">
      <w:pPr>
        <w:jc w:val="both"/>
        <w:rPr>
          <w:b/>
          <w:sz w:val="27"/>
          <w:szCs w:val="27"/>
        </w:rPr>
      </w:pPr>
      <w:r w:rsidRPr="00E41554">
        <w:rPr>
          <w:b/>
          <w:bCs/>
          <w:sz w:val="27"/>
          <w:szCs w:val="27"/>
          <w:lang w:val="en-GB"/>
        </w:rPr>
        <w:t>Response</w:t>
      </w:r>
    </w:p>
    <w:p w:rsidR="002F7024" w:rsidRPr="00E41554" w:rsidRDefault="002F7024" w:rsidP="002F7024">
      <w:pPr>
        <w:jc w:val="both"/>
        <w:rPr>
          <w:sz w:val="27"/>
          <w:szCs w:val="27"/>
        </w:rPr>
      </w:pPr>
      <w:r w:rsidRPr="00E41554">
        <w:rPr>
          <w:sz w:val="27"/>
          <w:szCs w:val="27"/>
          <w:lang w:val="en-GB"/>
        </w:rPr>
        <w:t xml:space="preserve">There </w:t>
      </w:r>
      <w:proofErr w:type="gramStart"/>
      <w:r w:rsidRPr="00E41554">
        <w:rPr>
          <w:sz w:val="27"/>
          <w:szCs w:val="27"/>
          <w:lang w:val="en-GB"/>
        </w:rPr>
        <w:t>are</w:t>
      </w:r>
      <w:proofErr w:type="gramEnd"/>
      <w:r w:rsidRPr="00E41554">
        <w:rPr>
          <w:sz w:val="27"/>
          <w:szCs w:val="27"/>
          <w:lang w:val="en-GB"/>
        </w:rPr>
        <w:t xml:space="preserve"> Extension staff that crossed to NAADS. MAAIF is working with LGs to harmonise staffing under LGs </w:t>
      </w:r>
    </w:p>
    <w:p w:rsidR="002F7024" w:rsidRPr="00E41554" w:rsidRDefault="002F7024" w:rsidP="002F7024">
      <w:pPr>
        <w:jc w:val="both"/>
        <w:rPr>
          <w:sz w:val="27"/>
          <w:szCs w:val="27"/>
          <w:lang w:val="en-GB"/>
        </w:rPr>
      </w:pPr>
    </w:p>
    <w:p w:rsidR="002F7024" w:rsidRPr="00E41554" w:rsidRDefault="002F7024" w:rsidP="002F7024">
      <w:pPr>
        <w:numPr>
          <w:ilvl w:val="0"/>
          <w:numId w:val="13"/>
        </w:numPr>
        <w:jc w:val="both"/>
        <w:rPr>
          <w:sz w:val="27"/>
          <w:szCs w:val="27"/>
        </w:rPr>
      </w:pPr>
      <w:r w:rsidRPr="00E41554">
        <w:rPr>
          <w:sz w:val="27"/>
          <w:szCs w:val="27"/>
          <w:lang w:val="en-GB"/>
        </w:rPr>
        <w:t xml:space="preserve">On the banana wilt which is affecting a number of local governments, there was a concern that sector policy issues paper by MAAIF is silent on the strategies to be undertaken in FY 2012/13 to address this problem. It was proposed that part of the funding to banana programme under Ministry of Finance be used to address this problem. </w:t>
      </w:r>
    </w:p>
    <w:p w:rsidR="002F7024" w:rsidRPr="00E41554" w:rsidRDefault="002F7024" w:rsidP="002F7024">
      <w:pPr>
        <w:jc w:val="both"/>
        <w:rPr>
          <w:b/>
          <w:bCs/>
          <w:sz w:val="27"/>
          <w:szCs w:val="27"/>
          <w:lang w:val="en-GB"/>
        </w:rPr>
      </w:pPr>
    </w:p>
    <w:p w:rsidR="002F7024" w:rsidRPr="00E41554" w:rsidRDefault="002F7024" w:rsidP="002F7024">
      <w:pPr>
        <w:jc w:val="both"/>
        <w:rPr>
          <w:b/>
          <w:sz w:val="27"/>
          <w:szCs w:val="27"/>
        </w:rPr>
      </w:pPr>
      <w:r w:rsidRPr="00E41554">
        <w:rPr>
          <w:b/>
          <w:bCs/>
          <w:sz w:val="27"/>
          <w:szCs w:val="27"/>
          <w:lang w:val="en-GB"/>
        </w:rPr>
        <w:t>Response</w:t>
      </w:r>
    </w:p>
    <w:p w:rsidR="002F7024" w:rsidRPr="00E41554" w:rsidRDefault="002F7024" w:rsidP="002F7024">
      <w:pPr>
        <w:jc w:val="both"/>
        <w:rPr>
          <w:sz w:val="27"/>
          <w:szCs w:val="27"/>
          <w:lang w:val="en-GB"/>
        </w:rPr>
      </w:pPr>
      <w:r w:rsidRPr="00E41554">
        <w:rPr>
          <w:sz w:val="27"/>
          <w:szCs w:val="27"/>
          <w:lang w:val="en-GB"/>
        </w:rPr>
        <w:t>Current efforts by World Bank, through ATAAS, have indicated that they will avail some funds per year to support the efforts to control BBW.  Activities have been ongoing in the entire FY 2012/13. MAAIF drafted an integrated work plan for BBW control, bringing on board the department of crop protection, NARO, NAADS, and LG. The World Bank through the ATAAS did partly finance the BBW control activities in FY 2012/13; and the activities are continuing in FY 2013/14</w:t>
      </w:r>
      <w:proofErr w:type="gramStart"/>
      <w:r w:rsidRPr="00E41554">
        <w:rPr>
          <w:sz w:val="27"/>
          <w:szCs w:val="27"/>
          <w:lang w:val="en-GB"/>
        </w:rPr>
        <w:t>..</w:t>
      </w:r>
      <w:proofErr w:type="gramEnd"/>
    </w:p>
    <w:p w:rsidR="002F7024" w:rsidRPr="00E41554" w:rsidRDefault="002F7024" w:rsidP="002F7024">
      <w:pPr>
        <w:jc w:val="both"/>
        <w:rPr>
          <w:sz w:val="27"/>
          <w:szCs w:val="27"/>
        </w:rPr>
      </w:pPr>
    </w:p>
    <w:p w:rsidR="002F7024" w:rsidRPr="00E41554" w:rsidRDefault="002F7024" w:rsidP="002F7024">
      <w:pPr>
        <w:numPr>
          <w:ilvl w:val="0"/>
          <w:numId w:val="13"/>
        </w:numPr>
        <w:jc w:val="both"/>
        <w:rPr>
          <w:sz w:val="27"/>
          <w:szCs w:val="27"/>
        </w:rPr>
      </w:pPr>
      <w:r w:rsidRPr="00E41554">
        <w:rPr>
          <w:sz w:val="27"/>
          <w:szCs w:val="27"/>
          <w:lang w:val="en-GB"/>
        </w:rPr>
        <w:t xml:space="preserve">It was observed that the guidelines for Production and Marketing grant (PMG) allocates 55% of the grant to Development activities and 45% to recurrent. This leaves little funds for recurrent given the overall allocation under PMG. It was recommended that the Ministry should consider increasing the recurrent component. </w:t>
      </w:r>
    </w:p>
    <w:p w:rsidR="002F7024" w:rsidRPr="00E41554" w:rsidRDefault="002F7024" w:rsidP="002F7024">
      <w:pPr>
        <w:ind w:left="360"/>
        <w:jc w:val="both"/>
        <w:rPr>
          <w:sz w:val="27"/>
          <w:szCs w:val="27"/>
        </w:rPr>
      </w:pPr>
    </w:p>
    <w:p w:rsidR="002F7024" w:rsidRPr="00E41554" w:rsidRDefault="002F7024" w:rsidP="002F7024">
      <w:pPr>
        <w:jc w:val="both"/>
        <w:rPr>
          <w:b/>
          <w:sz w:val="27"/>
          <w:szCs w:val="27"/>
        </w:rPr>
      </w:pPr>
      <w:r w:rsidRPr="00E41554">
        <w:rPr>
          <w:b/>
          <w:bCs/>
          <w:sz w:val="27"/>
          <w:szCs w:val="27"/>
        </w:rPr>
        <w:t>Response</w:t>
      </w:r>
    </w:p>
    <w:p w:rsidR="002F7024" w:rsidRPr="00E41554" w:rsidRDefault="002F7024" w:rsidP="002F7024">
      <w:pPr>
        <w:ind w:left="360"/>
        <w:jc w:val="both"/>
        <w:rPr>
          <w:sz w:val="27"/>
          <w:szCs w:val="27"/>
        </w:rPr>
      </w:pPr>
    </w:p>
    <w:p w:rsidR="002F7024" w:rsidRPr="00E41554" w:rsidRDefault="002F7024" w:rsidP="002F7024">
      <w:pPr>
        <w:jc w:val="both"/>
        <w:rPr>
          <w:sz w:val="27"/>
          <w:szCs w:val="27"/>
        </w:rPr>
      </w:pPr>
      <w:r w:rsidRPr="00E41554">
        <w:rPr>
          <w:sz w:val="27"/>
          <w:szCs w:val="27"/>
          <w:lang w:val="en-GB"/>
        </w:rPr>
        <w:t>The Capital Development activities are expected to show the physical development on ground over recurrent therefore it cannot be reduced due to the limited funds availed.</w:t>
      </w:r>
    </w:p>
    <w:p w:rsidR="002F7024" w:rsidRDefault="002F7024" w:rsidP="002F7024">
      <w:pPr>
        <w:jc w:val="both"/>
        <w:rPr>
          <w:bCs/>
          <w:sz w:val="27"/>
          <w:szCs w:val="27"/>
        </w:rPr>
      </w:pPr>
    </w:p>
    <w:p w:rsidR="00DF383B" w:rsidRDefault="00DF383B" w:rsidP="002F7024">
      <w:pPr>
        <w:jc w:val="both"/>
        <w:rPr>
          <w:bCs/>
          <w:sz w:val="27"/>
          <w:szCs w:val="27"/>
        </w:rPr>
      </w:pPr>
    </w:p>
    <w:p w:rsidR="00DF383B" w:rsidRDefault="00DF383B" w:rsidP="002F7024">
      <w:pPr>
        <w:jc w:val="both"/>
        <w:rPr>
          <w:bCs/>
          <w:sz w:val="27"/>
          <w:szCs w:val="27"/>
        </w:rPr>
      </w:pPr>
    </w:p>
    <w:p w:rsidR="00DF383B" w:rsidRDefault="00DF383B" w:rsidP="002F7024">
      <w:pPr>
        <w:jc w:val="both"/>
        <w:rPr>
          <w:bCs/>
          <w:sz w:val="27"/>
          <w:szCs w:val="27"/>
        </w:rPr>
      </w:pPr>
    </w:p>
    <w:p w:rsidR="00DF383B" w:rsidRDefault="00DF383B" w:rsidP="002F7024">
      <w:pPr>
        <w:jc w:val="both"/>
        <w:rPr>
          <w:bCs/>
          <w:sz w:val="27"/>
          <w:szCs w:val="27"/>
        </w:rPr>
      </w:pPr>
    </w:p>
    <w:p w:rsidR="00DF383B" w:rsidRDefault="00DF383B" w:rsidP="002F7024">
      <w:pPr>
        <w:jc w:val="both"/>
        <w:rPr>
          <w:bCs/>
          <w:sz w:val="27"/>
          <w:szCs w:val="27"/>
        </w:rPr>
      </w:pPr>
    </w:p>
    <w:p w:rsidR="00DF383B" w:rsidRPr="00E41554" w:rsidRDefault="00DF383B" w:rsidP="002F7024">
      <w:pPr>
        <w:jc w:val="both"/>
        <w:rPr>
          <w:bCs/>
          <w:sz w:val="27"/>
          <w:szCs w:val="27"/>
        </w:rPr>
      </w:pPr>
    </w:p>
    <w:p w:rsidR="002F7024" w:rsidRPr="00DF383B" w:rsidRDefault="002F7024" w:rsidP="00DF383B">
      <w:pPr>
        <w:pStyle w:val="ListParagraph"/>
        <w:numPr>
          <w:ilvl w:val="1"/>
          <w:numId w:val="15"/>
        </w:numPr>
        <w:rPr>
          <w:b/>
          <w:sz w:val="27"/>
          <w:szCs w:val="27"/>
        </w:rPr>
      </w:pPr>
      <w:r w:rsidRPr="00DF383B">
        <w:rPr>
          <w:b/>
          <w:sz w:val="27"/>
          <w:szCs w:val="27"/>
        </w:rPr>
        <w:lastRenderedPageBreak/>
        <w:t>FORMULA ALLOCATION AND PARAMETERS FOR THE FY 2014/15</w:t>
      </w:r>
    </w:p>
    <w:p w:rsidR="00DF383B" w:rsidRPr="00DF383B" w:rsidRDefault="00DF383B" w:rsidP="00DF383B">
      <w:pPr>
        <w:pStyle w:val="ListParagraph"/>
        <w:ind w:left="825"/>
        <w:rPr>
          <w:b/>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086"/>
        <w:gridCol w:w="3048"/>
      </w:tblGrid>
      <w:tr w:rsidR="002F7024" w:rsidRPr="00E41554" w:rsidTr="00A730CE">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sz w:val="27"/>
                <w:szCs w:val="27"/>
              </w:rPr>
              <w:t>Parameter</w:t>
            </w:r>
          </w:p>
        </w:tc>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sz w:val="27"/>
                <w:szCs w:val="27"/>
              </w:rPr>
              <w:t>Weight</w:t>
            </w:r>
          </w:p>
        </w:tc>
        <w:tc>
          <w:tcPr>
            <w:tcW w:w="3192"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r w:rsidR="002F7024" w:rsidRPr="00E41554" w:rsidTr="00A730CE">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Population:</w:t>
            </w:r>
          </w:p>
        </w:tc>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 xml:space="preserve">60%     </w:t>
            </w:r>
          </w:p>
        </w:tc>
        <w:tc>
          <w:tcPr>
            <w:tcW w:w="3192"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r w:rsidR="002F7024" w:rsidRPr="00E41554" w:rsidTr="00A730CE">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Area:</w:t>
            </w:r>
            <w:r w:rsidRPr="00E41554">
              <w:rPr>
                <w:bCs/>
                <w:sz w:val="27"/>
                <w:szCs w:val="27"/>
              </w:rPr>
              <w:tab/>
            </w:r>
          </w:p>
        </w:tc>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20%</w:t>
            </w:r>
          </w:p>
        </w:tc>
        <w:tc>
          <w:tcPr>
            <w:tcW w:w="3192"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r w:rsidR="002F7024" w:rsidRPr="00E41554" w:rsidTr="00A730CE">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Poverty index:</w:t>
            </w:r>
          </w:p>
        </w:tc>
        <w:tc>
          <w:tcPr>
            <w:tcW w:w="3192"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20%</w:t>
            </w:r>
          </w:p>
        </w:tc>
        <w:tc>
          <w:tcPr>
            <w:tcW w:w="3192"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bl>
    <w:p w:rsidR="002F7024" w:rsidRPr="00E41554" w:rsidRDefault="002F7024" w:rsidP="002F7024">
      <w:pPr>
        <w:jc w:val="both"/>
        <w:rPr>
          <w:bCs/>
          <w:sz w:val="27"/>
          <w:szCs w:val="27"/>
        </w:rPr>
      </w:pPr>
    </w:p>
    <w:p w:rsidR="000C6554" w:rsidRDefault="000C6554" w:rsidP="002F7024">
      <w:pPr>
        <w:jc w:val="both"/>
        <w:rPr>
          <w:bCs/>
          <w:sz w:val="27"/>
          <w:szCs w:val="27"/>
        </w:rPr>
      </w:pPr>
      <w:r>
        <w:rPr>
          <w:bCs/>
          <w:sz w:val="27"/>
          <w:szCs w:val="27"/>
        </w:rPr>
        <w:t>Population:</w:t>
      </w:r>
      <w:r>
        <w:rPr>
          <w:bCs/>
          <w:sz w:val="27"/>
          <w:szCs w:val="27"/>
        </w:rPr>
        <w:tab/>
      </w:r>
      <w:r>
        <w:rPr>
          <w:bCs/>
          <w:sz w:val="27"/>
          <w:szCs w:val="27"/>
        </w:rPr>
        <w:tab/>
      </w:r>
      <w:r>
        <w:rPr>
          <w:bCs/>
          <w:sz w:val="27"/>
          <w:szCs w:val="27"/>
        </w:rPr>
        <w:tab/>
      </w:r>
      <w:r>
        <w:rPr>
          <w:bCs/>
          <w:sz w:val="27"/>
          <w:szCs w:val="27"/>
        </w:rPr>
        <w:tab/>
      </w:r>
      <w:r>
        <w:rPr>
          <w:bCs/>
          <w:sz w:val="27"/>
          <w:szCs w:val="27"/>
        </w:rPr>
        <w:tab/>
        <w:t>60%</w:t>
      </w:r>
    </w:p>
    <w:p w:rsidR="000C6554" w:rsidRDefault="000C6554" w:rsidP="002F7024">
      <w:pPr>
        <w:jc w:val="both"/>
        <w:rPr>
          <w:bCs/>
          <w:sz w:val="27"/>
          <w:szCs w:val="27"/>
        </w:rPr>
      </w:pPr>
      <w:r>
        <w:rPr>
          <w:bCs/>
          <w:sz w:val="27"/>
          <w:szCs w:val="27"/>
        </w:rPr>
        <w:t>Area:</w:t>
      </w:r>
      <w:r>
        <w:rPr>
          <w:bCs/>
          <w:sz w:val="27"/>
          <w:szCs w:val="27"/>
        </w:rPr>
        <w:tab/>
      </w:r>
      <w:r>
        <w:rPr>
          <w:bCs/>
          <w:sz w:val="27"/>
          <w:szCs w:val="27"/>
        </w:rPr>
        <w:tab/>
      </w:r>
      <w:r>
        <w:rPr>
          <w:bCs/>
          <w:sz w:val="27"/>
          <w:szCs w:val="27"/>
        </w:rPr>
        <w:tab/>
      </w:r>
      <w:r>
        <w:rPr>
          <w:bCs/>
          <w:sz w:val="27"/>
          <w:szCs w:val="27"/>
        </w:rPr>
        <w:tab/>
      </w:r>
      <w:r>
        <w:rPr>
          <w:bCs/>
          <w:sz w:val="27"/>
          <w:szCs w:val="27"/>
        </w:rPr>
        <w:tab/>
      </w:r>
      <w:r>
        <w:rPr>
          <w:bCs/>
          <w:sz w:val="27"/>
          <w:szCs w:val="27"/>
        </w:rPr>
        <w:tab/>
        <w:t>20%</w:t>
      </w:r>
    </w:p>
    <w:p w:rsidR="000C6554" w:rsidRDefault="000C6554" w:rsidP="002F7024">
      <w:pPr>
        <w:jc w:val="both"/>
        <w:rPr>
          <w:bCs/>
          <w:sz w:val="27"/>
          <w:szCs w:val="27"/>
        </w:rPr>
      </w:pPr>
      <w:r>
        <w:rPr>
          <w:bCs/>
          <w:sz w:val="27"/>
          <w:szCs w:val="27"/>
        </w:rPr>
        <w:t>Poverty index:</w:t>
      </w:r>
      <w:r>
        <w:rPr>
          <w:bCs/>
          <w:sz w:val="27"/>
          <w:szCs w:val="27"/>
        </w:rPr>
        <w:tab/>
      </w:r>
      <w:r>
        <w:rPr>
          <w:bCs/>
          <w:sz w:val="27"/>
          <w:szCs w:val="27"/>
        </w:rPr>
        <w:tab/>
      </w:r>
      <w:r>
        <w:rPr>
          <w:bCs/>
          <w:sz w:val="27"/>
          <w:szCs w:val="27"/>
        </w:rPr>
        <w:tab/>
      </w:r>
      <w:r>
        <w:rPr>
          <w:bCs/>
          <w:sz w:val="27"/>
          <w:szCs w:val="27"/>
        </w:rPr>
        <w:tab/>
        <w:t>20%</w:t>
      </w:r>
    </w:p>
    <w:p w:rsidR="000C6554" w:rsidRDefault="000C6554" w:rsidP="002F7024">
      <w:pPr>
        <w:jc w:val="both"/>
        <w:rPr>
          <w:bCs/>
          <w:sz w:val="27"/>
          <w:szCs w:val="27"/>
        </w:rPr>
      </w:pPr>
    </w:p>
    <w:p w:rsidR="002F7024" w:rsidRPr="00E41554" w:rsidRDefault="002F7024" w:rsidP="002F7024">
      <w:pPr>
        <w:jc w:val="both"/>
        <w:rPr>
          <w:bCs/>
          <w:sz w:val="27"/>
          <w:szCs w:val="27"/>
        </w:rPr>
      </w:pPr>
      <w:r w:rsidRPr="00E41554">
        <w:rPr>
          <w:bCs/>
          <w:sz w:val="27"/>
          <w:szCs w:val="27"/>
        </w:rPr>
        <w:t xml:space="preserve">Total IPF Allocation </w:t>
      </w:r>
      <w:r w:rsidRPr="00E41554">
        <w:rPr>
          <w:bCs/>
          <w:sz w:val="27"/>
          <w:szCs w:val="27"/>
        </w:rPr>
        <w:tab/>
      </w:r>
      <w:r w:rsidRPr="00E41554">
        <w:rPr>
          <w:bCs/>
          <w:sz w:val="27"/>
          <w:szCs w:val="27"/>
        </w:rPr>
        <w:tab/>
      </w:r>
      <w:r w:rsidRPr="00E41554">
        <w:rPr>
          <w:bCs/>
          <w:sz w:val="27"/>
          <w:szCs w:val="27"/>
        </w:rPr>
        <w:tab/>
        <w:t xml:space="preserve">10.04 </w:t>
      </w:r>
      <w:proofErr w:type="spellStart"/>
      <w:r w:rsidRPr="00E41554">
        <w:rPr>
          <w:bCs/>
          <w:sz w:val="27"/>
          <w:szCs w:val="27"/>
        </w:rPr>
        <w:t>bn</w:t>
      </w:r>
      <w:proofErr w:type="spellEnd"/>
    </w:p>
    <w:p w:rsidR="002F7024" w:rsidRPr="00E41554" w:rsidRDefault="002F7024" w:rsidP="002F7024">
      <w:pPr>
        <w:jc w:val="both"/>
        <w:rPr>
          <w:bCs/>
          <w:sz w:val="27"/>
          <w:szCs w:val="27"/>
        </w:rPr>
      </w:pPr>
      <w:r w:rsidRPr="00E41554">
        <w:rPr>
          <w:bCs/>
          <w:sz w:val="27"/>
          <w:szCs w:val="27"/>
        </w:rPr>
        <w:t>Population allocation</w:t>
      </w:r>
      <w:r w:rsidRPr="00E41554">
        <w:rPr>
          <w:bCs/>
          <w:sz w:val="27"/>
          <w:szCs w:val="27"/>
        </w:rPr>
        <w:tab/>
      </w:r>
      <w:r w:rsidRPr="00E41554">
        <w:rPr>
          <w:bCs/>
          <w:sz w:val="27"/>
          <w:szCs w:val="27"/>
        </w:rPr>
        <w:tab/>
      </w:r>
      <w:r w:rsidRPr="00E41554">
        <w:rPr>
          <w:bCs/>
          <w:sz w:val="27"/>
          <w:szCs w:val="27"/>
        </w:rPr>
        <w:tab/>
        <w:t xml:space="preserve">6.02 </w:t>
      </w:r>
      <w:proofErr w:type="spellStart"/>
      <w:r w:rsidRPr="00E41554">
        <w:rPr>
          <w:bCs/>
          <w:sz w:val="27"/>
          <w:szCs w:val="27"/>
        </w:rPr>
        <w:t>bn</w:t>
      </w:r>
      <w:proofErr w:type="spellEnd"/>
    </w:p>
    <w:p w:rsidR="002F7024" w:rsidRPr="00E41554" w:rsidRDefault="002F7024" w:rsidP="002F7024">
      <w:pPr>
        <w:jc w:val="both"/>
        <w:rPr>
          <w:bCs/>
          <w:sz w:val="27"/>
          <w:szCs w:val="27"/>
        </w:rPr>
      </w:pPr>
      <w:r w:rsidRPr="00E41554">
        <w:rPr>
          <w:bCs/>
          <w:sz w:val="27"/>
          <w:szCs w:val="27"/>
        </w:rPr>
        <w:t>Area allocation</w:t>
      </w:r>
      <w:r w:rsidRPr="00E41554">
        <w:rPr>
          <w:bCs/>
          <w:sz w:val="27"/>
          <w:szCs w:val="27"/>
        </w:rPr>
        <w:tab/>
      </w:r>
      <w:r w:rsidRPr="00E41554">
        <w:rPr>
          <w:bCs/>
          <w:sz w:val="27"/>
          <w:szCs w:val="27"/>
        </w:rPr>
        <w:tab/>
      </w:r>
      <w:r w:rsidRPr="00E41554">
        <w:rPr>
          <w:bCs/>
          <w:sz w:val="27"/>
          <w:szCs w:val="27"/>
        </w:rPr>
        <w:tab/>
      </w:r>
      <w:r w:rsidRPr="00E41554">
        <w:rPr>
          <w:bCs/>
          <w:sz w:val="27"/>
          <w:szCs w:val="27"/>
        </w:rPr>
        <w:tab/>
        <w:t xml:space="preserve">2.0074606 </w:t>
      </w:r>
      <w:proofErr w:type="spellStart"/>
      <w:r w:rsidRPr="00E41554">
        <w:rPr>
          <w:bCs/>
          <w:sz w:val="27"/>
          <w:szCs w:val="27"/>
        </w:rPr>
        <w:t>bn</w:t>
      </w:r>
      <w:proofErr w:type="spellEnd"/>
    </w:p>
    <w:p w:rsidR="002F7024" w:rsidRPr="00E41554" w:rsidRDefault="002F7024" w:rsidP="002F7024">
      <w:pPr>
        <w:jc w:val="both"/>
        <w:rPr>
          <w:bCs/>
          <w:sz w:val="27"/>
          <w:szCs w:val="27"/>
        </w:rPr>
      </w:pPr>
      <w:r w:rsidRPr="00E41554">
        <w:rPr>
          <w:bCs/>
          <w:sz w:val="27"/>
          <w:szCs w:val="27"/>
        </w:rPr>
        <w:t>Poverty allocation</w:t>
      </w:r>
      <w:r w:rsidRPr="00E41554">
        <w:rPr>
          <w:bCs/>
          <w:sz w:val="27"/>
          <w:szCs w:val="27"/>
        </w:rPr>
        <w:tab/>
      </w:r>
      <w:r w:rsidRPr="00E41554">
        <w:rPr>
          <w:bCs/>
          <w:sz w:val="27"/>
          <w:szCs w:val="27"/>
        </w:rPr>
        <w:tab/>
      </w:r>
      <w:r w:rsidRPr="00E41554">
        <w:rPr>
          <w:bCs/>
          <w:sz w:val="27"/>
          <w:szCs w:val="27"/>
        </w:rPr>
        <w:tab/>
      </w:r>
      <w:r w:rsidRPr="00E41554">
        <w:rPr>
          <w:bCs/>
          <w:sz w:val="27"/>
          <w:szCs w:val="27"/>
        </w:rPr>
        <w:tab/>
        <w:t xml:space="preserve">2.0074606 </w:t>
      </w:r>
      <w:proofErr w:type="spellStart"/>
      <w:r w:rsidRPr="00E41554">
        <w:rPr>
          <w:bCs/>
          <w:sz w:val="27"/>
          <w:szCs w:val="27"/>
        </w:rPr>
        <w:t>bn</w:t>
      </w:r>
      <w:proofErr w:type="spellEnd"/>
    </w:p>
    <w:p w:rsidR="002F7024" w:rsidRPr="00E41554" w:rsidRDefault="002F7024" w:rsidP="002F7024">
      <w:pPr>
        <w:jc w:val="both"/>
        <w:rPr>
          <w:sz w:val="27"/>
          <w:szCs w:val="27"/>
        </w:rPr>
      </w:pPr>
      <w:r w:rsidRPr="00E41554">
        <w:rPr>
          <w:bCs/>
          <w:sz w:val="27"/>
          <w:szCs w:val="27"/>
        </w:rPr>
        <w:t xml:space="preserve">Total </w:t>
      </w:r>
      <w:proofErr w:type="spellStart"/>
      <w:r w:rsidRPr="00E41554">
        <w:rPr>
          <w:bCs/>
          <w:sz w:val="27"/>
          <w:szCs w:val="27"/>
        </w:rPr>
        <w:t>Popn</w:t>
      </w:r>
      <w:proofErr w:type="spellEnd"/>
      <w:r w:rsidRPr="00E41554">
        <w:rPr>
          <w:bCs/>
          <w:sz w:val="27"/>
          <w:szCs w:val="27"/>
        </w:rPr>
        <w:t>:</w:t>
      </w:r>
      <w:r w:rsidRPr="00E41554">
        <w:rPr>
          <w:bCs/>
          <w:sz w:val="27"/>
          <w:szCs w:val="27"/>
        </w:rPr>
        <w:tab/>
      </w:r>
      <w:r w:rsidRPr="00E41554">
        <w:rPr>
          <w:bCs/>
          <w:sz w:val="27"/>
          <w:szCs w:val="27"/>
        </w:rPr>
        <w:tab/>
      </w:r>
      <w:r w:rsidRPr="00E41554">
        <w:rPr>
          <w:bCs/>
          <w:sz w:val="27"/>
          <w:szCs w:val="27"/>
        </w:rPr>
        <w:tab/>
      </w:r>
      <w:r w:rsidRPr="00E41554">
        <w:rPr>
          <w:bCs/>
          <w:sz w:val="27"/>
          <w:szCs w:val="27"/>
        </w:rPr>
        <w:tab/>
      </w:r>
      <w:r w:rsidRPr="00E41554">
        <w:rPr>
          <w:bCs/>
          <w:sz w:val="27"/>
          <w:szCs w:val="27"/>
        </w:rPr>
        <w:tab/>
        <w:t>31,558,826</w:t>
      </w:r>
    </w:p>
    <w:p w:rsidR="002F7024" w:rsidRPr="00E41554" w:rsidRDefault="002F7024" w:rsidP="002F7024">
      <w:pPr>
        <w:jc w:val="both"/>
        <w:rPr>
          <w:sz w:val="27"/>
          <w:szCs w:val="27"/>
        </w:rPr>
      </w:pPr>
      <w:r w:rsidRPr="00E41554">
        <w:rPr>
          <w:bCs/>
          <w:sz w:val="27"/>
          <w:szCs w:val="27"/>
        </w:rPr>
        <w:t>Total land area</w:t>
      </w:r>
      <w:r w:rsidRPr="00E41554">
        <w:rPr>
          <w:bCs/>
          <w:sz w:val="27"/>
          <w:szCs w:val="27"/>
        </w:rPr>
        <w:tab/>
      </w:r>
      <w:r w:rsidRPr="00E41554">
        <w:rPr>
          <w:bCs/>
          <w:sz w:val="27"/>
          <w:szCs w:val="27"/>
        </w:rPr>
        <w:tab/>
      </w:r>
      <w:r w:rsidRPr="00E41554">
        <w:rPr>
          <w:bCs/>
          <w:sz w:val="27"/>
          <w:szCs w:val="27"/>
        </w:rPr>
        <w:tab/>
      </w:r>
      <w:r w:rsidRPr="00E41554">
        <w:rPr>
          <w:bCs/>
          <w:sz w:val="27"/>
          <w:szCs w:val="27"/>
        </w:rPr>
        <w:tab/>
        <w:t>241,446.67</w:t>
      </w:r>
    </w:p>
    <w:p w:rsidR="002F7024" w:rsidRPr="00E41554" w:rsidRDefault="002F7024" w:rsidP="002F7024">
      <w:pPr>
        <w:jc w:val="both"/>
        <w:rPr>
          <w:bCs/>
          <w:sz w:val="27"/>
          <w:szCs w:val="27"/>
        </w:rPr>
      </w:pPr>
      <w:r w:rsidRPr="00E41554">
        <w:rPr>
          <w:bCs/>
          <w:sz w:val="27"/>
          <w:szCs w:val="27"/>
        </w:rPr>
        <w:t>Total no of people under poverty</w:t>
      </w:r>
      <w:r w:rsidRPr="00E41554">
        <w:rPr>
          <w:bCs/>
          <w:sz w:val="27"/>
          <w:szCs w:val="27"/>
        </w:rPr>
        <w:tab/>
        <w:t>12,591,818</w:t>
      </w:r>
    </w:p>
    <w:p w:rsidR="002F7024" w:rsidRPr="00E41554" w:rsidRDefault="002F7024" w:rsidP="002F7024">
      <w:pPr>
        <w:jc w:val="both"/>
        <w:rPr>
          <w:bCs/>
          <w:sz w:val="27"/>
          <w:szCs w:val="27"/>
        </w:rPr>
      </w:pPr>
      <w:r w:rsidRPr="00E41554">
        <w:rPr>
          <w:bCs/>
          <w:sz w:val="27"/>
          <w:szCs w:val="27"/>
        </w:rPr>
        <w:t>Note:  The formula is a total of the allocations of the following: population, area and poverty. To find the allocations, you have to first calculate the population index, area index and poverty index</w:t>
      </w:r>
    </w:p>
    <w:p w:rsidR="002F7024" w:rsidRPr="00E41554" w:rsidRDefault="002F7024" w:rsidP="002F7024">
      <w:pPr>
        <w:jc w:val="both"/>
        <w:rPr>
          <w:bCs/>
          <w:sz w:val="27"/>
          <w:szCs w:val="27"/>
        </w:rPr>
      </w:pPr>
      <w:r w:rsidRPr="00E41554">
        <w:rPr>
          <w:bCs/>
          <w:sz w:val="27"/>
          <w:szCs w:val="27"/>
        </w:rPr>
        <w:t>The Population index formula is the area population divided by the total population.</w:t>
      </w:r>
    </w:p>
    <w:p w:rsidR="002F7024" w:rsidRPr="00E41554" w:rsidRDefault="002F7024" w:rsidP="002F7024">
      <w:pPr>
        <w:jc w:val="both"/>
        <w:rPr>
          <w:bCs/>
          <w:sz w:val="27"/>
          <w:szCs w:val="27"/>
        </w:rPr>
      </w:pPr>
      <w:r w:rsidRPr="00E41554">
        <w:rPr>
          <w:bCs/>
          <w:sz w:val="27"/>
          <w:szCs w:val="27"/>
        </w:rPr>
        <w:t>The Area index formula is Area covered divided by the total area.</w:t>
      </w:r>
    </w:p>
    <w:p w:rsidR="002F7024" w:rsidRPr="00E41554" w:rsidRDefault="002F7024" w:rsidP="002F7024">
      <w:pPr>
        <w:jc w:val="both"/>
        <w:rPr>
          <w:bCs/>
          <w:sz w:val="27"/>
          <w:szCs w:val="27"/>
        </w:rPr>
      </w:pPr>
      <w:r w:rsidRPr="00E41554">
        <w:rPr>
          <w:bCs/>
          <w:sz w:val="27"/>
          <w:szCs w:val="27"/>
        </w:rPr>
        <w:t xml:space="preserve">The poverty index formula is the number of people in the area under poverty divided by the total people under poverty. </w:t>
      </w:r>
    </w:p>
    <w:p w:rsidR="002F7024" w:rsidRPr="00E41554" w:rsidRDefault="002F7024" w:rsidP="002F7024">
      <w:pPr>
        <w:jc w:val="both"/>
        <w:rPr>
          <w:bCs/>
          <w:sz w:val="27"/>
          <w:szCs w:val="27"/>
        </w:rPr>
      </w:pPr>
      <w:r w:rsidRPr="00E41554">
        <w:rPr>
          <w:bCs/>
          <w:sz w:val="27"/>
          <w:szCs w:val="27"/>
        </w:rPr>
        <w:t>Please note that to find the number of people in the area under poverty, multiple the poverty head count by the population divided by 100.</w:t>
      </w:r>
    </w:p>
    <w:p w:rsidR="002F7024" w:rsidRPr="00E41554" w:rsidRDefault="002F7024" w:rsidP="002F7024">
      <w:pPr>
        <w:jc w:val="both"/>
        <w:rPr>
          <w:bCs/>
          <w:sz w:val="27"/>
          <w:szCs w:val="27"/>
        </w:rPr>
      </w:pPr>
    </w:p>
    <w:p w:rsidR="002F7024" w:rsidRDefault="002F7024" w:rsidP="002F7024">
      <w:pPr>
        <w:jc w:val="both"/>
        <w:rPr>
          <w:b/>
          <w:sz w:val="27"/>
          <w:szCs w:val="27"/>
        </w:rPr>
      </w:pPr>
      <w:r w:rsidRPr="00E41554">
        <w:rPr>
          <w:b/>
          <w:sz w:val="27"/>
          <w:szCs w:val="27"/>
        </w:rPr>
        <w:t xml:space="preserve">Example:  </w:t>
      </w:r>
      <w:proofErr w:type="spellStart"/>
      <w:r w:rsidRPr="00E41554">
        <w:rPr>
          <w:b/>
          <w:sz w:val="27"/>
          <w:szCs w:val="27"/>
        </w:rPr>
        <w:t>Adjumani</w:t>
      </w:r>
      <w:proofErr w:type="spellEnd"/>
      <w:r w:rsidRPr="00E41554">
        <w:rPr>
          <w:b/>
          <w:sz w:val="27"/>
          <w:szCs w:val="27"/>
        </w:rPr>
        <w:t xml:space="preserve"> district</w:t>
      </w:r>
    </w:p>
    <w:p w:rsidR="00DF383B" w:rsidRPr="00E41554" w:rsidRDefault="00DF383B" w:rsidP="002F7024">
      <w:pPr>
        <w:jc w:val="both"/>
        <w:rPr>
          <w:b/>
          <w:sz w:val="27"/>
          <w:szCs w:val="27"/>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4230"/>
        <w:gridCol w:w="2610"/>
        <w:gridCol w:w="1440"/>
      </w:tblGrid>
      <w:tr w:rsidR="002F7024" w:rsidRPr="00E41554" w:rsidTr="00A730CE">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bCs/>
                <w:sz w:val="27"/>
                <w:szCs w:val="27"/>
              </w:rPr>
              <w:t>Popn</w:t>
            </w:r>
            <w:proofErr w:type="spellEnd"/>
            <w:r w:rsidRPr="00E41554">
              <w:rPr>
                <w:bCs/>
                <w:sz w:val="27"/>
                <w:szCs w:val="27"/>
              </w:rPr>
              <w:t>:</w:t>
            </w:r>
            <w:r w:rsidRPr="00E41554">
              <w:rPr>
                <w:bCs/>
                <w:sz w:val="27"/>
                <w:szCs w:val="27"/>
              </w:rPr>
              <w:tab/>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spacing w:after="200" w:line="276" w:lineRule="auto"/>
              <w:jc w:val="both"/>
              <w:rPr>
                <w:sz w:val="27"/>
                <w:szCs w:val="27"/>
              </w:rPr>
            </w:pPr>
            <w:r w:rsidRPr="00E41554">
              <w:rPr>
                <w:bCs/>
                <w:sz w:val="27"/>
                <w:szCs w:val="27"/>
              </w:rPr>
              <w:t>375,800</w:t>
            </w:r>
          </w:p>
        </w:tc>
        <w:tc>
          <w:tcPr>
            <w:tcW w:w="261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c>
          <w:tcPr>
            <w:tcW w:w="144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r w:rsidR="002F7024" w:rsidRPr="00E41554" w:rsidTr="00A730CE">
        <w:trPr>
          <w:trHeight w:val="485"/>
        </w:trPr>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Land:</w:t>
            </w:r>
            <w:r w:rsidRPr="00E41554">
              <w:rPr>
                <w:bCs/>
                <w:sz w:val="27"/>
                <w:szCs w:val="27"/>
              </w:rPr>
              <w:tab/>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spacing w:after="200" w:line="276" w:lineRule="auto"/>
              <w:jc w:val="both"/>
              <w:rPr>
                <w:sz w:val="27"/>
                <w:szCs w:val="27"/>
              </w:rPr>
            </w:pPr>
            <w:r w:rsidRPr="00E41554">
              <w:rPr>
                <w:bCs/>
                <w:sz w:val="27"/>
                <w:szCs w:val="27"/>
              </w:rPr>
              <w:t>3088.8</w:t>
            </w:r>
          </w:p>
        </w:tc>
        <w:tc>
          <w:tcPr>
            <w:tcW w:w="261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c>
          <w:tcPr>
            <w:tcW w:w="144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r w:rsidR="002F7024" w:rsidRPr="00E41554" w:rsidTr="00A730CE">
        <w:trPr>
          <w:trHeight w:val="350"/>
        </w:trPr>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Poverty level:</w:t>
            </w:r>
            <w:r w:rsidRPr="00E41554">
              <w:rPr>
                <w:bCs/>
                <w:sz w:val="27"/>
                <w:szCs w:val="27"/>
              </w:rPr>
              <w:tab/>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sz w:val="27"/>
                <w:szCs w:val="27"/>
              </w:rPr>
              <w:t>74</w:t>
            </w:r>
          </w:p>
        </w:tc>
        <w:tc>
          <w:tcPr>
            <w:tcW w:w="261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c>
          <w:tcPr>
            <w:tcW w:w="144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p>
        </w:tc>
      </w:tr>
      <w:tr w:rsidR="002F7024" w:rsidRPr="00E41554" w:rsidTr="00A730CE">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poverty</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poverty head count*population/100</w:t>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i/>
                <w:iCs/>
                <w:sz w:val="27"/>
                <w:szCs w:val="27"/>
              </w:rPr>
              <w:t xml:space="preserve">74*375,800/100, </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i/>
                <w:iCs/>
                <w:sz w:val="27"/>
                <w:szCs w:val="27"/>
              </w:rPr>
              <w:t>=278,092</w:t>
            </w:r>
          </w:p>
        </w:tc>
      </w:tr>
      <w:tr w:rsidR="002F7024" w:rsidRPr="00E41554" w:rsidTr="00A730CE">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bCs/>
                <w:sz w:val="27"/>
                <w:szCs w:val="27"/>
              </w:rPr>
              <w:t>Popn</w:t>
            </w:r>
            <w:proofErr w:type="spellEnd"/>
            <w:r w:rsidRPr="00E41554">
              <w:rPr>
                <w:bCs/>
                <w:sz w:val="27"/>
                <w:szCs w:val="27"/>
              </w:rPr>
              <w:t xml:space="preserve"> index</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bCs/>
                <w:sz w:val="27"/>
                <w:szCs w:val="27"/>
              </w:rPr>
              <w:t>Adjumanipopn</w:t>
            </w:r>
            <w:proofErr w:type="spellEnd"/>
            <w:r w:rsidRPr="00E41554">
              <w:rPr>
                <w:bCs/>
                <w:sz w:val="27"/>
                <w:szCs w:val="27"/>
              </w:rPr>
              <w:t>/total</w:t>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i/>
                <w:iCs/>
                <w:sz w:val="27"/>
                <w:szCs w:val="27"/>
              </w:rPr>
              <w:t>375,800/31,558,826</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i/>
                <w:iCs/>
                <w:sz w:val="27"/>
                <w:szCs w:val="27"/>
              </w:rPr>
              <w:t>=0.0119</w:t>
            </w:r>
          </w:p>
        </w:tc>
      </w:tr>
      <w:tr w:rsidR="002F7024" w:rsidRPr="00E41554" w:rsidTr="00A730CE">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Area Index</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bCs/>
                <w:sz w:val="27"/>
                <w:szCs w:val="27"/>
              </w:rPr>
              <w:t>Adjumani</w:t>
            </w:r>
            <w:proofErr w:type="spellEnd"/>
            <w:r w:rsidRPr="00E41554">
              <w:rPr>
                <w:bCs/>
                <w:sz w:val="27"/>
                <w:szCs w:val="27"/>
              </w:rPr>
              <w:t xml:space="preserve"> Land Area /total</w:t>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i/>
                <w:iCs/>
                <w:sz w:val="27"/>
                <w:szCs w:val="27"/>
              </w:rPr>
              <w:t>3088.8/241,446.67</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sz w:val="27"/>
                <w:szCs w:val="27"/>
              </w:rPr>
              <w:t>=</w:t>
            </w:r>
            <w:r w:rsidRPr="00E41554">
              <w:rPr>
                <w:bCs/>
                <w:i/>
                <w:iCs/>
                <w:sz w:val="27"/>
                <w:szCs w:val="27"/>
              </w:rPr>
              <w:t>0.0128</w:t>
            </w:r>
          </w:p>
        </w:tc>
      </w:tr>
      <w:tr w:rsidR="002F7024" w:rsidRPr="00E41554" w:rsidTr="00A730CE">
        <w:trPr>
          <w:trHeight w:val="773"/>
        </w:trPr>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sz w:val="27"/>
                <w:szCs w:val="27"/>
              </w:rPr>
              <w:t>Poverty index</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bCs/>
                <w:sz w:val="27"/>
                <w:szCs w:val="27"/>
              </w:rPr>
              <w:t>Adjumani</w:t>
            </w:r>
            <w:proofErr w:type="spellEnd"/>
            <w:r w:rsidRPr="00E41554">
              <w:rPr>
                <w:bCs/>
                <w:sz w:val="27"/>
                <w:szCs w:val="27"/>
              </w:rPr>
              <w:t xml:space="preserve"> no. of people under poverty/total people under poverty</w:t>
            </w:r>
            <w:r w:rsidRPr="00E41554">
              <w:rPr>
                <w:bCs/>
                <w:sz w:val="27"/>
                <w:szCs w:val="27"/>
              </w:rPr>
              <w:tab/>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278092/12,591,818</w:t>
            </w:r>
          </w:p>
          <w:p w:rsidR="002F7024" w:rsidRPr="00E41554" w:rsidRDefault="002F7024" w:rsidP="00A730CE">
            <w:pPr>
              <w:jc w:val="both"/>
              <w:rPr>
                <w:sz w:val="27"/>
                <w:szCs w:val="27"/>
              </w:rPr>
            </w:pPr>
          </w:p>
        </w:tc>
        <w:tc>
          <w:tcPr>
            <w:tcW w:w="1440" w:type="dxa"/>
            <w:tcBorders>
              <w:top w:val="single" w:sz="4" w:space="0" w:color="000000"/>
              <w:left w:val="single" w:sz="4" w:space="0" w:color="000000"/>
              <w:bottom w:val="single" w:sz="4" w:space="0" w:color="000000"/>
              <w:right w:val="single" w:sz="4" w:space="0" w:color="000000"/>
            </w:tcBorders>
          </w:tcPr>
          <w:p w:rsidR="002F7024" w:rsidRPr="00E41554" w:rsidRDefault="002F7024" w:rsidP="00A730CE">
            <w:pPr>
              <w:jc w:val="both"/>
              <w:rPr>
                <w:sz w:val="27"/>
                <w:szCs w:val="27"/>
              </w:rPr>
            </w:pPr>
            <w:r w:rsidRPr="00E41554">
              <w:rPr>
                <w:bCs/>
                <w:i/>
                <w:iCs/>
                <w:sz w:val="27"/>
                <w:szCs w:val="27"/>
              </w:rPr>
              <w:t>=0.0221</w:t>
            </w:r>
          </w:p>
          <w:p w:rsidR="002F7024" w:rsidRPr="00E41554" w:rsidRDefault="002F7024" w:rsidP="00A730CE">
            <w:pPr>
              <w:jc w:val="both"/>
              <w:rPr>
                <w:sz w:val="27"/>
                <w:szCs w:val="27"/>
              </w:rPr>
            </w:pPr>
          </w:p>
        </w:tc>
      </w:tr>
      <w:tr w:rsidR="002F7024" w:rsidRPr="00E41554" w:rsidTr="00A730CE">
        <w:trPr>
          <w:trHeight w:val="773"/>
        </w:trPr>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lastRenderedPageBreak/>
              <w:t xml:space="preserve">Allocation by </w:t>
            </w:r>
            <w:proofErr w:type="spellStart"/>
            <w:r w:rsidRPr="00E41554">
              <w:rPr>
                <w:bCs/>
                <w:sz w:val="27"/>
                <w:szCs w:val="27"/>
              </w:rPr>
              <w:t>Popn</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6.02*</w:t>
            </w:r>
            <w:proofErr w:type="spellStart"/>
            <w:r w:rsidRPr="00E41554">
              <w:rPr>
                <w:bCs/>
                <w:sz w:val="27"/>
                <w:szCs w:val="27"/>
              </w:rPr>
              <w:t>popn</w:t>
            </w:r>
            <w:proofErr w:type="spellEnd"/>
            <w:r w:rsidRPr="00E41554">
              <w:rPr>
                <w:bCs/>
                <w:sz w:val="27"/>
                <w:szCs w:val="27"/>
              </w:rPr>
              <w:t xml:space="preserve"> index</w:t>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6.02*0.0119</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=0.072</w:t>
            </w:r>
          </w:p>
        </w:tc>
      </w:tr>
      <w:tr w:rsidR="002F7024" w:rsidRPr="00E41554" w:rsidTr="00A730CE">
        <w:trPr>
          <w:trHeight w:val="773"/>
        </w:trPr>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Allocation by area</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2.0074606*area index</w:t>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2.0074606*0.0128</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=0.026</w:t>
            </w:r>
          </w:p>
        </w:tc>
      </w:tr>
      <w:tr w:rsidR="002F7024" w:rsidRPr="00E41554" w:rsidTr="00A730CE">
        <w:trPr>
          <w:trHeight w:val="773"/>
        </w:trPr>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Allocation by poverty</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sz w:val="27"/>
                <w:szCs w:val="27"/>
              </w:rPr>
            </w:pPr>
            <w:r w:rsidRPr="00E41554">
              <w:rPr>
                <w:bCs/>
                <w:sz w:val="27"/>
                <w:szCs w:val="27"/>
              </w:rPr>
              <w:t>2.0074606*poverty index</w:t>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2.0074606*0.0221</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bCs/>
                <w:i/>
                <w:iCs/>
                <w:sz w:val="27"/>
                <w:szCs w:val="27"/>
              </w:rPr>
            </w:pPr>
            <w:r w:rsidRPr="00E41554">
              <w:rPr>
                <w:bCs/>
                <w:i/>
                <w:iCs/>
                <w:sz w:val="27"/>
                <w:szCs w:val="27"/>
              </w:rPr>
              <w:t>=0.044</w:t>
            </w:r>
          </w:p>
        </w:tc>
      </w:tr>
      <w:tr w:rsidR="002F7024" w:rsidRPr="00E41554" w:rsidTr="00A730CE">
        <w:tc>
          <w:tcPr>
            <w:tcW w:w="216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sz w:val="27"/>
                <w:szCs w:val="27"/>
              </w:rPr>
              <w:t>Adjumani</w:t>
            </w:r>
            <w:proofErr w:type="spellEnd"/>
            <w:r w:rsidRPr="00E41554">
              <w:rPr>
                <w:sz w:val="27"/>
                <w:szCs w:val="27"/>
              </w:rPr>
              <w:t xml:space="preserve"> IPFs </w:t>
            </w:r>
          </w:p>
        </w:tc>
        <w:tc>
          <w:tcPr>
            <w:tcW w:w="423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proofErr w:type="spellStart"/>
            <w:r w:rsidRPr="00E41554">
              <w:rPr>
                <w:bCs/>
                <w:sz w:val="27"/>
                <w:szCs w:val="27"/>
              </w:rPr>
              <w:t>popn</w:t>
            </w:r>
            <w:proofErr w:type="spellEnd"/>
            <w:r w:rsidRPr="00E41554">
              <w:rPr>
                <w:bCs/>
                <w:sz w:val="27"/>
                <w:szCs w:val="27"/>
              </w:rPr>
              <w:t xml:space="preserve"> all +poverty all+ area all index</w:t>
            </w:r>
            <w:r w:rsidRPr="00E41554">
              <w:rPr>
                <w:bCs/>
                <w:sz w:val="27"/>
                <w:szCs w:val="27"/>
              </w:rPr>
              <w:tab/>
            </w:r>
            <w:r w:rsidRPr="00E41554">
              <w:rPr>
                <w:bCs/>
                <w:sz w:val="27"/>
                <w:szCs w:val="27"/>
              </w:rPr>
              <w:tab/>
            </w:r>
            <w:r w:rsidRPr="00E41554">
              <w:rPr>
                <w:bCs/>
                <w:sz w:val="27"/>
                <w:szCs w:val="27"/>
              </w:rPr>
              <w:tab/>
            </w:r>
            <w:r w:rsidRPr="00E41554">
              <w:rPr>
                <w:bCs/>
                <w:sz w:val="27"/>
                <w:szCs w:val="27"/>
              </w:rPr>
              <w:tab/>
            </w:r>
          </w:p>
        </w:tc>
        <w:tc>
          <w:tcPr>
            <w:tcW w:w="261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bCs/>
                <w:i/>
                <w:iCs/>
                <w:sz w:val="27"/>
                <w:szCs w:val="27"/>
              </w:rPr>
              <w:t>0.072+0.026+0.044</w:t>
            </w:r>
          </w:p>
        </w:tc>
        <w:tc>
          <w:tcPr>
            <w:tcW w:w="1440" w:type="dxa"/>
            <w:tcBorders>
              <w:top w:val="single" w:sz="4" w:space="0" w:color="000000"/>
              <w:left w:val="single" w:sz="4" w:space="0" w:color="000000"/>
              <w:bottom w:val="single" w:sz="4" w:space="0" w:color="000000"/>
              <w:right w:val="single" w:sz="4" w:space="0" w:color="000000"/>
            </w:tcBorders>
            <w:hideMark/>
          </w:tcPr>
          <w:p w:rsidR="002F7024" w:rsidRPr="00E41554" w:rsidRDefault="002F7024" w:rsidP="00A730CE">
            <w:pPr>
              <w:jc w:val="both"/>
              <w:rPr>
                <w:sz w:val="27"/>
                <w:szCs w:val="27"/>
              </w:rPr>
            </w:pPr>
            <w:r w:rsidRPr="00E41554">
              <w:rPr>
                <w:sz w:val="27"/>
                <w:szCs w:val="27"/>
              </w:rPr>
              <w:t>=</w:t>
            </w:r>
            <w:r w:rsidRPr="00E41554">
              <w:rPr>
                <w:bCs/>
                <w:i/>
                <w:iCs/>
                <w:sz w:val="27"/>
                <w:szCs w:val="27"/>
              </w:rPr>
              <w:t>0.142</w:t>
            </w:r>
          </w:p>
        </w:tc>
      </w:tr>
    </w:tbl>
    <w:p w:rsidR="00DF383B" w:rsidRDefault="00DF383B" w:rsidP="00DF383B">
      <w:pPr>
        <w:spacing w:line="360" w:lineRule="auto"/>
        <w:contextualSpacing/>
        <w:jc w:val="both"/>
        <w:rPr>
          <w:sz w:val="27"/>
          <w:szCs w:val="27"/>
        </w:rPr>
      </w:pPr>
    </w:p>
    <w:p w:rsidR="00DF383B" w:rsidRPr="00DF383B" w:rsidRDefault="00DF383B" w:rsidP="00DF383B">
      <w:pPr>
        <w:spacing w:line="360" w:lineRule="auto"/>
        <w:contextualSpacing/>
        <w:jc w:val="both"/>
        <w:rPr>
          <w:b/>
          <w:sz w:val="27"/>
          <w:szCs w:val="27"/>
        </w:rPr>
      </w:pPr>
      <w:r w:rsidRPr="00DF383B">
        <w:rPr>
          <w:b/>
          <w:sz w:val="27"/>
          <w:szCs w:val="27"/>
        </w:rPr>
        <w:t>NAADS GRANT Allocation Formula and parameters for the FY 2014/15</w:t>
      </w:r>
    </w:p>
    <w:p w:rsidR="00DF383B" w:rsidRPr="00DF383B" w:rsidRDefault="00DF383B" w:rsidP="00DF383B">
      <w:pPr>
        <w:spacing w:line="360" w:lineRule="auto"/>
        <w:jc w:val="both"/>
        <w:rPr>
          <w:sz w:val="27"/>
          <w:szCs w:val="27"/>
        </w:rPr>
      </w:pPr>
    </w:p>
    <w:p w:rsidR="00DF383B" w:rsidRPr="00DF383B" w:rsidRDefault="00DF383B" w:rsidP="00DF383B">
      <w:pPr>
        <w:spacing w:line="360" w:lineRule="auto"/>
        <w:jc w:val="both"/>
        <w:rPr>
          <w:sz w:val="27"/>
          <w:szCs w:val="27"/>
        </w:rPr>
      </w:pPr>
      <w:r w:rsidRPr="00DF383B">
        <w:rPr>
          <w:sz w:val="27"/>
          <w:szCs w:val="27"/>
        </w:rPr>
        <w:t xml:space="preserve">Allocations for operational funds are as per District with the following parameters; Area (25%), Poverty (20%) and Population 55%. The districts then allocate an average to lower local Governments. The size of lower local Governments is not considered due to inadequate statistics on the land area and poverty index for some </w:t>
      </w:r>
      <w:proofErr w:type="spellStart"/>
      <w:r w:rsidRPr="00DF383B">
        <w:rPr>
          <w:sz w:val="27"/>
          <w:szCs w:val="27"/>
        </w:rPr>
        <w:t>LLGs.However</w:t>
      </w:r>
      <w:proofErr w:type="spellEnd"/>
      <w:r w:rsidRPr="00DF383B">
        <w:rPr>
          <w:sz w:val="27"/>
          <w:szCs w:val="27"/>
        </w:rPr>
        <w:t xml:space="preserve">, an effort has been made to collect statistics on </w:t>
      </w:r>
      <w:proofErr w:type="spellStart"/>
      <w:r w:rsidRPr="00DF383B">
        <w:rPr>
          <w:sz w:val="27"/>
          <w:szCs w:val="27"/>
        </w:rPr>
        <w:t>theparameters</w:t>
      </w:r>
      <w:proofErr w:type="spellEnd"/>
      <w:r w:rsidRPr="00DF383B">
        <w:rPr>
          <w:sz w:val="27"/>
          <w:szCs w:val="27"/>
        </w:rPr>
        <w:t xml:space="preserve"> for a number of LLGs from UBOS but the data is still insufficient to warrant utilization of the formula.</w:t>
      </w:r>
    </w:p>
    <w:p w:rsidR="00DF383B" w:rsidRPr="00DF383B" w:rsidRDefault="00DF383B" w:rsidP="00DF383B">
      <w:pPr>
        <w:spacing w:line="360" w:lineRule="auto"/>
        <w:jc w:val="both"/>
        <w:rPr>
          <w:sz w:val="27"/>
          <w:szCs w:val="27"/>
        </w:rPr>
      </w:pPr>
    </w:p>
    <w:p w:rsidR="00DF383B" w:rsidRPr="00DF383B" w:rsidRDefault="00DF383B" w:rsidP="00DF383B">
      <w:pPr>
        <w:spacing w:line="360" w:lineRule="auto"/>
        <w:jc w:val="both"/>
        <w:rPr>
          <w:sz w:val="27"/>
          <w:szCs w:val="27"/>
        </w:rPr>
      </w:pPr>
      <w:r w:rsidRPr="00DF383B">
        <w:rPr>
          <w:sz w:val="27"/>
          <w:szCs w:val="27"/>
        </w:rPr>
        <w:t>The implementation of the priority commodities under the commodity approach is currently allocated 70% of the technology uptake Grant while other district priority commodities take an average of 30%.</w:t>
      </w:r>
    </w:p>
    <w:p w:rsidR="00F866CE" w:rsidRPr="00DF383B" w:rsidRDefault="00F866CE">
      <w:pPr>
        <w:rPr>
          <w:sz w:val="27"/>
          <w:szCs w:val="27"/>
        </w:rPr>
      </w:pPr>
    </w:p>
    <w:sectPr w:rsidR="00F866CE" w:rsidRPr="00DF383B" w:rsidSect="00E73047">
      <w:footerReference w:type="even" r:id="rId10"/>
      <w:footerReference w:type="default" r:id="rId11"/>
      <w:pgSz w:w="11906" w:h="16838" w:code="9"/>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85" w:rsidRDefault="00526F85">
      <w:r>
        <w:separator/>
      </w:r>
    </w:p>
  </w:endnote>
  <w:endnote w:type="continuationSeparator" w:id="0">
    <w:p w:rsidR="00526F85" w:rsidRDefault="0052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47" w:rsidRDefault="00A25055" w:rsidP="00E73047">
    <w:pPr>
      <w:pStyle w:val="Footer"/>
      <w:framePr w:wrap="around" w:vAnchor="text" w:hAnchor="margin" w:xAlign="right" w:y="1"/>
      <w:rPr>
        <w:rStyle w:val="PageNumber"/>
      </w:rPr>
    </w:pPr>
    <w:r>
      <w:rPr>
        <w:rStyle w:val="PageNumber"/>
      </w:rPr>
      <w:fldChar w:fldCharType="begin"/>
    </w:r>
    <w:r w:rsidR="007224C8">
      <w:rPr>
        <w:rStyle w:val="PageNumber"/>
      </w:rPr>
      <w:instrText xml:space="preserve">PAGE  </w:instrText>
    </w:r>
    <w:r>
      <w:rPr>
        <w:rStyle w:val="PageNumber"/>
      </w:rPr>
      <w:fldChar w:fldCharType="end"/>
    </w:r>
  </w:p>
  <w:p w:rsidR="00E73047" w:rsidRDefault="0041122F" w:rsidP="00E730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47" w:rsidRDefault="00A25055" w:rsidP="00E73047">
    <w:pPr>
      <w:pStyle w:val="Footer"/>
      <w:framePr w:wrap="around" w:vAnchor="text" w:hAnchor="margin" w:xAlign="right" w:y="1"/>
      <w:rPr>
        <w:rStyle w:val="PageNumber"/>
      </w:rPr>
    </w:pPr>
    <w:r>
      <w:rPr>
        <w:rStyle w:val="PageNumber"/>
      </w:rPr>
      <w:fldChar w:fldCharType="begin"/>
    </w:r>
    <w:r w:rsidR="007224C8">
      <w:rPr>
        <w:rStyle w:val="PageNumber"/>
      </w:rPr>
      <w:instrText xml:space="preserve">PAGE  </w:instrText>
    </w:r>
    <w:r>
      <w:rPr>
        <w:rStyle w:val="PageNumber"/>
      </w:rPr>
      <w:fldChar w:fldCharType="separate"/>
    </w:r>
    <w:r w:rsidR="0041122F">
      <w:rPr>
        <w:rStyle w:val="PageNumber"/>
        <w:noProof/>
      </w:rPr>
      <w:t>3</w:t>
    </w:r>
    <w:r>
      <w:rPr>
        <w:rStyle w:val="PageNumber"/>
      </w:rPr>
      <w:fldChar w:fldCharType="end"/>
    </w:r>
  </w:p>
  <w:p w:rsidR="00E73047" w:rsidRDefault="0041122F" w:rsidP="00E730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85" w:rsidRDefault="00526F85">
      <w:r>
        <w:separator/>
      </w:r>
    </w:p>
  </w:footnote>
  <w:footnote w:type="continuationSeparator" w:id="0">
    <w:p w:rsidR="00526F85" w:rsidRDefault="00526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EF1"/>
    <w:multiLevelType w:val="hybridMultilevel"/>
    <w:tmpl w:val="B42A4BF2"/>
    <w:lvl w:ilvl="0" w:tplc="04090017">
      <w:start w:val="1"/>
      <w:numFmt w:val="lowerLetter"/>
      <w:lvlText w:val="%1)"/>
      <w:lvlJc w:val="left"/>
      <w:pPr>
        <w:ind w:left="72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A5FC5"/>
    <w:multiLevelType w:val="hybridMultilevel"/>
    <w:tmpl w:val="4D506B4A"/>
    <w:lvl w:ilvl="0" w:tplc="EDF2FB96">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00578"/>
    <w:multiLevelType w:val="multilevel"/>
    <w:tmpl w:val="1C262C1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A71C4A"/>
    <w:multiLevelType w:val="hybridMultilevel"/>
    <w:tmpl w:val="92B4A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A3B91"/>
    <w:multiLevelType w:val="hybridMultilevel"/>
    <w:tmpl w:val="09E286F4"/>
    <w:lvl w:ilvl="0" w:tplc="BCBADEBA">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6240699"/>
    <w:multiLevelType w:val="multilevel"/>
    <w:tmpl w:val="A424A5B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1DE873FD"/>
    <w:multiLevelType w:val="hybridMultilevel"/>
    <w:tmpl w:val="28EEC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DC034D"/>
    <w:multiLevelType w:val="hybridMultilevel"/>
    <w:tmpl w:val="EB58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B4A1C"/>
    <w:multiLevelType w:val="hybridMultilevel"/>
    <w:tmpl w:val="8E6C2D12"/>
    <w:lvl w:ilvl="0" w:tplc="A1FCC95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E1DF8"/>
    <w:multiLevelType w:val="hybridMultilevel"/>
    <w:tmpl w:val="DA70A79C"/>
    <w:lvl w:ilvl="0" w:tplc="08F296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7D451C"/>
    <w:multiLevelType w:val="hybridMultilevel"/>
    <w:tmpl w:val="012E944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29DC"/>
    <w:multiLevelType w:val="hybridMultilevel"/>
    <w:tmpl w:val="2188CF90"/>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D51962"/>
    <w:multiLevelType w:val="hybridMultilevel"/>
    <w:tmpl w:val="8FB24CE2"/>
    <w:lvl w:ilvl="0" w:tplc="C4BE4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046AF"/>
    <w:multiLevelType w:val="hybridMultilevel"/>
    <w:tmpl w:val="ED3E28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D606C7"/>
    <w:multiLevelType w:val="multilevel"/>
    <w:tmpl w:val="807A4BAE"/>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0D23C9D"/>
    <w:multiLevelType w:val="hybridMultilevel"/>
    <w:tmpl w:val="3E8A8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13AD6"/>
    <w:multiLevelType w:val="hybridMultilevel"/>
    <w:tmpl w:val="B196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F616D"/>
    <w:multiLevelType w:val="hybridMultilevel"/>
    <w:tmpl w:val="735292CE"/>
    <w:lvl w:ilvl="0" w:tplc="72C20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90FC8"/>
    <w:multiLevelType w:val="hybridMultilevel"/>
    <w:tmpl w:val="3F4EF06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nsid w:val="5F9C1FB0"/>
    <w:multiLevelType w:val="hybridMultilevel"/>
    <w:tmpl w:val="61C8AD42"/>
    <w:lvl w:ilvl="0" w:tplc="8006D7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FE77647"/>
    <w:multiLevelType w:val="hybridMultilevel"/>
    <w:tmpl w:val="E7DA48A4"/>
    <w:lvl w:ilvl="0" w:tplc="0D70C7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D120E"/>
    <w:multiLevelType w:val="multilevel"/>
    <w:tmpl w:val="875673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015375"/>
    <w:multiLevelType w:val="hybridMultilevel"/>
    <w:tmpl w:val="920083DA"/>
    <w:lvl w:ilvl="0" w:tplc="FFFFFFFF">
      <w:start w:val="1"/>
      <w:numFmt w:val="lowerLetter"/>
      <w:lvlText w:val="%1)"/>
      <w:lvlJc w:val="left"/>
      <w:pPr>
        <w:tabs>
          <w:tab w:val="num" w:pos="720"/>
        </w:tabs>
        <w:ind w:left="720" w:hanging="360"/>
      </w:pPr>
    </w:lvl>
    <w:lvl w:ilvl="1" w:tplc="FFFFFFFF">
      <w:start w:val="8"/>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CA4488"/>
    <w:multiLevelType w:val="hybridMultilevel"/>
    <w:tmpl w:val="AD5AE7BE"/>
    <w:lvl w:ilvl="0" w:tplc="F5A2CFAE">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D55AA"/>
    <w:multiLevelType w:val="multilevel"/>
    <w:tmpl w:val="650E23A8"/>
    <w:lvl w:ilvl="0">
      <w:start w:val="1"/>
      <w:numFmt w:val="decimal"/>
      <w:lvlText w:val="%1."/>
      <w:lvlJc w:val="left"/>
      <w:pPr>
        <w:ind w:left="720" w:hanging="360"/>
      </w:pPr>
      <w:rPr>
        <w:rFonts w:hint="default"/>
      </w:rPr>
    </w:lvl>
    <w:lvl w:ilv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3D509A0"/>
    <w:multiLevelType w:val="hybridMultilevel"/>
    <w:tmpl w:val="EECA7054"/>
    <w:lvl w:ilvl="0" w:tplc="B472EFB0">
      <w:start w:val="1"/>
      <w:numFmt w:val="upperLetter"/>
      <w:lvlText w:val="%1."/>
      <w:lvlJc w:val="left"/>
      <w:pPr>
        <w:tabs>
          <w:tab w:val="num" w:pos="360"/>
        </w:tabs>
        <w:ind w:left="360" w:hanging="360"/>
      </w:pPr>
    </w:lvl>
    <w:lvl w:ilvl="1" w:tplc="04090001">
      <w:start w:val="1"/>
      <w:numFmt w:val="bullet"/>
      <w:lvlText w:val=""/>
      <w:lvlJc w:val="left"/>
      <w:pPr>
        <w:tabs>
          <w:tab w:val="num" w:pos="720"/>
        </w:tabs>
        <w:ind w:left="720" w:hanging="72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6A57988"/>
    <w:multiLevelType w:val="hybridMultilevel"/>
    <w:tmpl w:val="B61E1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FB4A7F"/>
    <w:multiLevelType w:val="multilevel"/>
    <w:tmpl w:val="47B0B8AE"/>
    <w:lvl w:ilvl="0">
      <w:start w:val="3"/>
      <w:numFmt w:val="decimal"/>
      <w:lvlText w:val="%1.0"/>
      <w:lvlJc w:val="left"/>
      <w:pPr>
        <w:ind w:left="181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num w:numId="1">
    <w:abstractNumId w:val="25"/>
  </w:num>
  <w:num w:numId="2">
    <w:abstractNumId w:val="22"/>
  </w:num>
  <w:num w:numId="3">
    <w:abstractNumId w:val="15"/>
  </w:num>
  <w:num w:numId="4">
    <w:abstractNumId w:val="6"/>
  </w:num>
  <w:num w:numId="5">
    <w:abstractNumId w:val="19"/>
  </w:num>
  <w:num w:numId="6">
    <w:abstractNumId w:val="9"/>
  </w:num>
  <w:num w:numId="7">
    <w:abstractNumId w:val="1"/>
  </w:num>
  <w:num w:numId="8">
    <w:abstractNumId w:val="0"/>
  </w:num>
  <w:num w:numId="9">
    <w:abstractNumId w:val="13"/>
  </w:num>
  <w:num w:numId="10">
    <w:abstractNumId w:val="11"/>
  </w:num>
  <w:num w:numId="11">
    <w:abstractNumId w:val="3"/>
  </w:num>
  <w:num w:numId="12">
    <w:abstractNumId w:val="16"/>
  </w:num>
  <w:num w:numId="13">
    <w:abstractNumId w:val="26"/>
  </w:num>
  <w:num w:numId="14">
    <w:abstractNumId w:val="18"/>
  </w:num>
  <w:num w:numId="15">
    <w:abstractNumId w:val="24"/>
  </w:num>
  <w:num w:numId="16">
    <w:abstractNumId w:val="5"/>
  </w:num>
  <w:num w:numId="17">
    <w:abstractNumId w:val="20"/>
  </w:num>
  <w:num w:numId="18">
    <w:abstractNumId w:val="4"/>
  </w:num>
  <w:num w:numId="19">
    <w:abstractNumId w:val="7"/>
  </w:num>
  <w:num w:numId="20">
    <w:abstractNumId w:val="21"/>
  </w:num>
  <w:num w:numId="21">
    <w:abstractNumId w:val="17"/>
  </w:num>
  <w:num w:numId="22">
    <w:abstractNumId w:val="12"/>
  </w:num>
  <w:num w:numId="23">
    <w:abstractNumId w:val="23"/>
  </w:num>
  <w:num w:numId="24">
    <w:abstractNumId w:val="2"/>
  </w:num>
  <w:num w:numId="25">
    <w:abstractNumId w:val="10"/>
  </w:num>
  <w:num w:numId="26">
    <w:abstractNumId w:val="8"/>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7024"/>
    <w:rsid w:val="000C6554"/>
    <w:rsid w:val="00251A08"/>
    <w:rsid w:val="002F7024"/>
    <w:rsid w:val="0033608D"/>
    <w:rsid w:val="0041122F"/>
    <w:rsid w:val="00432C8B"/>
    <w:rsid w:val="004C4512"/>
    <w:rsid w:val="00526F85"/>
    <w:rsid w:val="005F5682"/>
    <w:rsid w:val="007224C8"/>
    <w:rsid w:val="00731A36"/>
    <w:rsid w:val="00756DDD"/>
    <w:rsid w:val="007F4E75"/>
    <w:rsid w:val="008945E0"/>
    <w:rsid w:val="008B28C7"/>
    <w:rsid w:val="00937AE4"/>
    <w:rsid w:val="009A0063"/>
    <w:rsid w:val="00A25055"/>
    <w:rsid w:val="00B11899"/>
    <w:rsid w:val="00B66A66"/>
    <w:rsid w:val="00CF2432"/>
    <w:rsid w:val="00D46FBA"/>
    <w:rsid w:val="00D635C3"/>
    <w:rsid w:val="00D76B32"/>
    <w:rsid w:val="00D85B5F"/>
    <w:rsid w:val="00DC5036"/>
    <w:rsid w:val="00DF383B"/>
    <w:rsid w:val="00E23451"/>
    <w:rsid w:val="00E41554"/>
    <w:rsid w:val="00F24AE7"/>
    <w:rsid w:val="00F4246C"/>
    <w:rsid w:val="00F75140"/>
    <w:rsid w:val="00F7715A"/>
    <w:rsid w:val="00F866CE"/>
    <w:rsid w:val="00FC4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3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7024"/>
    <w:pPr>
      <w:jc w:val="both"/>
    </w:pPr>
  </w:style>
  <w:style w:type="character" w:customStyle="1" w:styleId="BodyTextChar">
    <w:name w:val="Body Text Char"/>
    <w:basedOn w:val="DefaultParagraphFont"/>
    <w:link w:val="BodyText"/>
    <w:rsid w:val="002F7024"/>
    <w:rPr>
      <w:rFonts w:ascii="Times New Roman" w:eastAsia="Times New Roman" w:hAnsi="Times New Roman" w:cs="Times New Roman"/>
      <w:sz w:val="24"/>
      <w:szCs w:val="24"/>
    </w:rPr>
  </w:style>
  <w:style w:type="paragraph" w:styleId="Footer">
    <w:name w:val="footer"/>
    <w:basedOn w:val="Normal"/>
    <w:link w:val="FooterChar"/>
    <w:rsid w:val="002F7024"/>
    <w:pPr>
      <w:tabs>
        <w:tab w:val="center" w:pos="4153"/>
        <w:tab w:val="right" w:pos="8306"/>
      </w:tabs>
    </w:pPr>
  </w:style>
  <w:style w:type="character" w:customStyle="1" w:styleId="FooterChar">
    <w:name w:val="Footer Char"/>
    <w:basedOn w:val="DefaultParagraphFont"/>
    <w:link w:val="Footer"/>
    <w:rsid w:val="002F7024"/>
    <w:rPr>
      <w:rFonts w:ascii="Times New Roman" w:eastAsia="Times New Roman" w:hAnsi="Times New Roman" w:cs="Times New Roman"/>
      <w:sz w:val="24"/>
      <w:szCs w:val="24"/>
    </w:rPr>
  </w:style>
  <w:style w:type="character" w:styleId="PageNumber">
    <w:name w:val="page number"/>
    <w:basedOn w:val="DefaultParagraphFont"/>
    <w:rsid w:val="002F7024"/>
  </w:style>
  <w:style w:type="paragraph" w:styleId="ListParagraph">
    <w:name w:val="List Paragraph"/>
    <w:aliases w:val="References,List Paragraph1"/>
    <w:basedOn w:val="Normal"/>
    <w:link w:val="ListParagraphChar"/>
    <w:uiPriority w:val="34"/>
    <w:qFormat/>
    <w:rsid w:val="002F7024"/>
    <w:pPr>
      <w:ind w:left="720"/>
    </w:pPr>
    <w:rPr>
      <w:rFonts w:cs="Angsana New"/>
      <w:lang w:bidi="th-TH"/>
    </w:rPr>
  </w:style>
  <w:style w:type="character" w:customStyle="1" w:styleId="ListParagraphChar">
    <w:name w:val="List Paragraph Char"/>
    <w:aliases w:val="References Char,List Paragraph1 Char"/>
    <w:link w:val="ListParagraph"/>
    <w:uiPriority w:val="34"/>
    <w:rsid w:val="002F7024"/>
    <w:rPr>
      <w:rFonts w:ascii="Times New Roman" w:eastAsia="Times New Roman" w:hAnsi="Times New Roman" w:cs="Angsana New"/>
      <w:sz w:val="24"/>
      <w:szCs w:val="24"/>
      <w:lang w:bidi="th-TH"/>
    </w:rPr>
  </w:style>
  <w:style w:type="character" w:customStyle="1" w:styleId="Heading1Char">
    <w:name w:val="Heading 1 Char"/>
    <w:basedOn w:val="DefaultParagraphFont"/>
    <w:link w:val="Heading1"/>
    <w:uiPriority w:val="9"/>
    <w:rsid w:val="00E23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4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3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7024"/>
    <w:pPr>
      <w:jc w:val="both"/>
    </w:pPr>
  </w:style>
  <w:style w:type="character" w:customStyle="1" w:styleId="BodyTextChar">
    <w:name w:val="Body Text Char"/>
    <w:basedOn w:val="DefaultParagraphFont"/>
    <w:link w:val="BodyText"/>
    <w:rsid w:val="002F7024"/>
    <w:rPr>
      <w:rFonts w:ascii="Times New Roman" w:eastAsia="Times New Roman" w:hAnsi="Times New Roman" w:cs="Times New Roman"/>
      <w:sz w:val="24"/>
      <w:szCs w:val="24"/>
    </w:rPr>
  </w:style>
  <w:style w:type="paragraph" w:styleId="Footer">
    <w:name w:val="footer"/>
    <w:basedOn w:val="Normal"/>
    <w:link w:val="FooterChar"/>
    <w:rsid w:val="002F7024"/>
    <w:pPr>
      <w:tabs>
        <w:tab w:val="center" w:pos="4153"/>
        <w:tab w:val="right" w:pos="8306"/>
      </w:tabs>
    </w:pPr>
  </w:style>
  <w:style w:type="character" w:customStyle="1" w:styleId="FooterChar">
    <w:name w:val="Footer Char"/>
    <w:basedOn w:val="DefaultParagraphFont"/>
    <w:link w:val="Footer"/>
    <w:rsid w:val="002F7024"/>
    <w:rPr>
      <w:rFonts w:ascii="Times New Roman" w:eastAsia="Times New Roman" w:hAnsi="Times New Roman" w:cs="Times New Roman"/>
      <w:sz w:val="24"/>
      <w:szCs w:val="24"/>
    </w:rPr>
  </w:style>
  <w:style w:type="character" w:styleId="PageNumber">
    <w:name w:val="page number"/>
    <w:basedOn w:val="DefaultParagraphFont"/>
    <w:rsid w:val="002F7024"/>
  </w:style>
  <w:style w:type="paragraph" w:styleId="ListParagraph">
    <w:name w:val="List Paragraph"/>
    <w:aliases w:val="References,List Paragraph1"/>
    <w:basedOn w:val="Normal"/>
    <w:link w:val="ListParagraphChar"/>
    <w:uiPriority w:val="34"/>
    <w:qFormat/>
    <w:rsid w:val="002F7024"/>
    <w:pPr>
      <w:ind w:left="720"/>
    </w:pPr>
    <w:rPr>
      <w:rFonts w:cs="Angsana New"/>
      <w:lang w:bidi="th-TH"/>
    </w:rPr>
  </w:style>
  <w:style w:type="character" w:customStyle="1" w:styleId="ListParagraphChar">
    <w:name w:val="List Paragraph Char"/>
    <w:aliases w:val="References Char,List Paragraph1 Char"/>
    <w:link w:val="ListParagraph"/>
    <w:uiPriority w:val="34"/>
    <w:rsid w:val="002F7024"/>
    <w:rPr>
      <w:rFonts w:ascii="Times New Roman" w:eastAsia="Times New Roman" w:hAnsi="Times New Roman" w:cs="Angsana New"/>
      <w:sz w:val="24"/>
      <w:szCs w:val="24"/>
      <w:lang w:bidi="th-TH"/>
    </w:rPr>
  </w:style>
  <w:style w:type="character" w:customStyle="1" w:styleId="Heading1Char">
    <w:name w:val="Heading 1 Char"/>
    <w:basedOn w:val="DefaultParagraphFont"/>
    <w:link w:val="Heading1"/>
    <w:uiPriority w:val="9"/>
    <w:rsid w:val="00E23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4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12</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8</cp:revision>
  <dcterms:created xsi:type="dcterms:W3CDTF">2013-10-11T06:52:00Z</dcterms:created>
  <dcterms:modified xsi:type="dcterms:W3CDTF">2013-10-16T03:56:00Z</dcterms:modified>
</cp:coreProperties>
</file>