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15" w:rsidRPr="003C1A43" w:rsidRDefault="00546615" w:rsidP="00546615">
      <w:pPr>
        <w:ind w:left="-360"/>
        <w:jc w:val="center"/>
        <w:rPr>
          <w:rFonts w:ascii="Bookman Old Style" w:hAnsi="Bookman Old Style"/>
          <w:b/>
          <w:bCs/>
          <w:sz w:val="28"/>
        </w:rPr>
      </w:pPr>
      <w:bookmarkStart w:id="0" w:name="_GoBack"/>
      <w:bookmarkEnd w:id="0"/>
      <w:r>
        <w:rPr>
          <w:rFonts w:ascii="Bookman Old Style" w:hAnsi="Bookman Old Style"/>
          <w:b/>
          <w:bCs/>
          <w:noProof/>
          <w:sz w:val="28"/>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-28575</wp:posOffset>
            </wp:positionV>
            <wp:extent cx="1524000" cy="1314450"/>
            <wp:effectExtent l="19050" t="0" r="0" b="0"/>
            <wp:wrapNone/>
            <wp:docPr id="3" name="Picture 2" descr="UGCO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OA2"/>
                    <pic:cNvPicPr>
                      <a:picLocks noChangeAspect="1" noChangeArrowheads="1"/>
                    </pic:cNvPicPr>
                  </pic:nvPicPr>
                  <pic:blipFill>
                    <a:blip r:embed="rId8" cstate="print"/>
                    <a:srcRect/>
                    <a:stretch>
                      <a:fillRect/>
                    </a:stretch>
                  </pic:blipFill>
                  <pic:spPr bwMode="auto">
                    <a:xfrm>
                      <a:off x="0" y="0"/>
                      <a:ext cx="1524000" cy="1314450"/>
                    </a:xfrm>
                    <a:prstGeom prst="rect">
                      <a:avLst/>
                    </a:prstGeom>
                    <a:noFill/>
                    <a:ln w="9525">
                      <a:noFill/>
                      <a:miter lim="800000"/>
                      <a:headEnd/>
                      <a:tailEnd/>
                    </a:ln>
                  </pic:spPr>
                </pic:pic>
              </a:graphicData>
            </a:graphic>
          </wp:anchor>
        </w:drawing>
      </w:r>
    </w:p>
    <w:p w:rsidR="00546615" w:rsidRDefault="00546615" w:rsidP="00546615">
      <w:pPr>
        <w:ind w:left="-360"/>
        <w:jc w:val="center"/>
        <w:rPr>
          <w:rFonts w:ascii="Bookman Old Style" w:hAnsi="Bookman Old Style"/>
          <w:b/>
          <w:bCs/>
          <w:sz w:val="28"/>
        </w:rPr>
      </w:pPr>
    </w:p>
    <w:p w:rsidR="00546615" w:rsidRDefault="00546615" w:rsidP="00546615">
      <w:pPr>
        <w:ind w:left="-360"/>
        <w:jc w:val="center"/>
        <w:rPr>
          <w:rFonts w:ascii="Bookman Old Style" w:hAnsi="Bookman Old Style"/>
          <w:b/>
          <w:bCs/>
          <w:sz w:val="28"/>
        </w:rPr>
      </w:pPr>
    </w:p>
    <w:p w:rsidR="00546615" w:rsidRDefault="00546615" w:rsidP="00546615">
      <w:pPr>
        <w:ind w:left="-360"/>
        <w:jc w:val="center"/>
        <w:rPr>
          <w:rFonts w:ascii="Bookman Old Style" w:hAnsi="Bookman Old Style"/>
          <w:b/>
          <w:bCs/>
          <w:sz w:val="28"/>
        </w:rPr>
      </w:pPr>
    </w:p>
    <w:p w:rsidR="00546615" w:rsidRDefault="00546615" w:rsidP="00546615">
      <w:pPr>
        <w:ind w:left="-360"/>
        <w:jc w:val="center"/>
        <w:rPr>
          <w:rFonts w:ascii="Bookman Old Style" w:hAnsi="Bookman Old Style"/>
          <w:b/>
          <w:bCs/>
          <w:sz w:val="28"/>
        </w:rPr>
      </w:pPr>
    </w:p>
    <w:p w:rsidR="00546615" w:rsidRDefault="00546615" w:rsidP="00546615">
      <w:pPr>
        <w:ind w:left="-360"/>
        <w:jc w:val="center"/>
        <w:rPr>
          <w:rFonts w:ascii="Bookman Old Style" w:hAnsi="Bookman Old Style"/>
          <w:b/>
          <w:bCs/>
          <w:sz w:val="28"/>
        </w:rPr>
      </w:pPr>
    </w:p>
    <w:p w:rsidR="001E09D1" w:rsidRDefault="001E09D1" w:rsidP="00546615">
      <w:pPr>
        <w:ind w:left="-360"/>
        <w:jc w:val="center"/>
        <w:rPr>
          <w:rFonts w:ascii="Bookman Old Style" w:hAnsi="Bookman Old Style"/>
          <w:b/>
          <w:bCs/>
          <w:sz w:val="28"/>
        </w:rPr>
      </w:pPr>
    </w:p>
    <w:p w:rsidR="001E09D1" w:rsidRPr="00F703C9" w:rsidRDefault="001E09D1" w:rsidP="00546615">
      <w:pPr>
        <w:ind w:left="-360"/>
        <w:jc w:val="center"/>
        <w:rPr>
          <w:rFonts w:ascii="Bookman Old Style" w:hAnsi="Bookman Old Style"/>
          <w:b/>
          <w:bCs/>
          <w:sz w:val="40"/>
          <w:szCs w:val="40"/>
        </w:rPr>
      </w:pPr>
    </w:p>
    <w:p w:rsidR="00546615" w:rsidRPr="00F703C9" w:rsidRDefault="00546615" w:rsidP="00546615">
      <w:pPr>
        <w:ind w:left="-360"/>
        <w:jc w:val="center"/>
        <w:rPr>
          <w:rFonts w:ascii="Bookman Old Style" w:hAnsi="Bookman Old Style"/>
          <w:b/>
          <w:bCs/>
          <w:sz w:val="40"/>
          <w:szCs w:val="40"/>
        </w:rPr>
      </w:pPr>
      <w:r w:rsidRPr="00F703C9">
        <w:rPr>
          <w:rFonts w:ascii="Bookman Old Style" w:hAnsi="Bookman Old Style"/>
          <w:b/>
          <w:bCs/>
          <w:sz w:val="40"/>
          <w:szCs w:val="40"/>
        </w:rPr>
        <w:t>MINISTRY OF EDUCATION AND SPORTS</w:t>
      </w:r>
    </w:p>
    <w:p w:rsidR="00546615" w:rsidRPr="001E09D1" w:rsidRDefault="00546615" w:rsidP="00546615">
      <w:pPr>
        <w:pStyle w:val="BodyText3"/>
        <w:jc w:val="center"/>
        <w:rPr>
          <w:rFonts w:ascii="Bookman Old Style" w:hAnsi="Bookman Old Style"/>
          <w:b w:val="0"/>
          <w:bCs/>
          <w:sz w:val="44"/>
          <w:szCs w:val="44"/>
        </w:rPr>
      </w:pPr>
    </w:p>
    <w:p w:rsidR="00546615" w:rsidRPr="001E09D1" w:rsidRDefault="00546615" w:rsidP="00546615">
      <w:pPr>
        <w:pStyle w:val="BodyText3"/>
        <w:jc w:val="center"/>
        <w:rPr>
          <w:rFonts w:ascii="Bookman Old Style" w:hAnsi="Bookman Old Style"/>
          <w:b w:val="0"/>
          <w:bCs/>
          <w:sz w:val="44"/>
          <w:szCs w:val="44"/>
        </w:rPr>
      </w:pPr>
    </w:p>
    <w:p w:rsidR="00546615" w:rsidRPr="001E09D1" w:rsidRDefault="00546615" w:rsidP="00546615">
      <w:pPr>
        <w:pStyle w:val="BodyText3"/>
        <w:jc w:val="center"/>
        <w:rPr>
          <w:rFonts w:ascii="Bookman Old Style" w:hAnsi="Bookman Old Style"/>
          <w:b w:val="0"/>
          <w:bCs/>
          <w:sz w:val="44"/>
          <w:szCs w:val="44"/>
        </w:rPr>
      </w:pPr>
    </w:p>
    <w:p w:rsidR="00546615" w:rsidRPr="001E09D1" w:rsidRDefault="00546615" w:rsidP="00546615">
      <w:pPr>
        <w:pStyle w:val="BodyText3"/>
        <w:jc w:val="center"/>
        <w:rPr>
          <w:rFonts w:ascii="Bookman Old Style" w:hAnsi="Bookman Old Style"/>
          <w:b w:val="0"/>
          <w:bCs/>
          <w:sz w:val="44"/>
          <w:szCs w:val="44"/>
        </w:rPr>
      </w:pPr>
    </w:p>
    <w:p w:rsidR="00546615" w:rsidRPr="001E09D1" w:rsidRDefault="00546615" w:rsidP="00546615">
      <w:pPr>
        <w:pStyle w:val="BodyText3"/>
        <w:jc w:val="center"/>
        <w:rPr>
          <w:rFonts w:ascii="Bookman Old Style" w:hAnsi="Bookman Old Style" w:cs="Aharoni"/>
          <w:bCs/>
          <w:sz w:val="32"/>
          <w:szCs w:val="32"/>
        </w:rPr>
      </w:pPr>
      <w:r w:rsidRPr="001E09D1">
        <w:rPr>
          <w:rFonts w:ascii="Bookman Old Style" w:hAnsi="Bookman Old Style" w:cs="Aharoni"/>
          <w:sz w:val="32"/>
          <w:szCs w:val="32"/>
        </w:rPr>
        <w:t>EDUCATION SECTOR ISSUES PAPER</w:t>
      </w:r>
    </w:p>
    <w:p w:rsidR="00546615" w:rsidRPr="001E09D1" w:rsidRDefault="00546615" w:rsidP="00546615">
      <w:pPr>
        <w:pStyle w:val="BodyText3"/>
        <w:jc w:val="center"/>
        <w:rPr>
          <w:rFonts w:ascii="Bookman Old Style" w:hAnsi="Bookman Old Style"/>
          <w:b w:val="0"/>
          <w:bCs/>
          <w:sz w:val="32"/>
          <w:szCs w:val="32"/>
        </w:rPr>
      </w:pPr>
    </w:p>
    <w:p w:rsidR="00546615" w:rsidRPr="001E09D1" w:rsidRDefault="00546615" w:rsidP="001E09D1">
      <w:pPr>
        <w:pStyle w:val="BodyText3"/>
        <w:rPr>
          <w:rFonts w:ascii="Bookman Old Style" w:hAnsi="Bookman Old Style"/>
          <w:b w:val="0"/>
          <w:bCs/>
          <w:sz w:val="32"/>
          <w:szCs w:val="32"/>
        </w:rPr>
      </w:pPr>
    </w:p>
    <w:p w:rsidR="00546615" w:rsidRPr="001E09D1" w:rsidRDefault="00546615" w:rsidP="00546615">
      <w:pPr>
        <w:pStyle w:val="BodyText3"/>
        <w:jc w:val="center"/>
        <w:rPr>
          <w:rFonts w:ascii="Bookman Old Style" w:hAnsi="Bookman Old Style"/>
          <w:b w:val="0"/>
          <w:bCs/>
          <w:sz w:val="32"/>
          <w:szCs w:val="32"/>
        </w:rPr>
      </w:pPr>
    </w:p>
    <w:p w:rsidR="00546615" w:rsidRPr="001E09D1" w:rsidRDefault="00546615" w:rsidP="00546615">
      <w:pPr>
        <w:pStyle w:val="BodyText3"/>
        <w:jc w:val="center"/>
        <w:rPr>
          <w:rFonts w:ascii="Bookman Old Style" w:hAnsi="Bookman Old Style"/>
          <w:iCs/>
          <w:sz w:val="32"/>
          <w:szCs w:val="32"/>
        </w:rPr>
      </w:pPr>
      <w:r w:rsidRPr="001E09D1">
        <w:rPr>
          <w:rFonts w:ascii="Bookman Old Style" w:hAnsi="Bookman Old Style"/>
          <w:iCs/>
          <w:sz w:val="32"/>
          <w:szCs w:val="32"/>
        </w:rPr>
        <w:t>FOR FY 2017/18</w:t>
      </w:r>
    </w:p>
    <w:p w:rsidR="00546615" w:rsidRPr="003C1A43" w:rsidRDefault="00546615" w:rsidP="00546615">
      <w:pPr>
        <w:pStyle w:val="BodyText3"/>
        <w:jc w:val="center"/>
        <w:rPr>
          <w:rFonts w:ascii="Bookman Old Style" w:hAnsi="Bookman Old Style"/>
          <w:b w:val="0"/>
          <w:bCs/>
          <w:sz w:val="28"/>
        </w:rPr>
      </w:pPr>
    </w:p>
    <w:p w:rsidR="00546615" w:rsidRPr="003C1A43" w:rsidRDefault="00546615" w:rsidP="00546615">
      <w:pPr>
        <w:pStyle w:val="BodyText3"/>
        <w:jc w:val="center"/>
        <w:rPr>
          <w:rFonts w:ascii="Bookman Old Style" w:hAnsi="Bookman Old Style"/>
          <w:b w:val="0"/>
          <w:bCs/>
          <w:sz w:val="28"/>
        </w:rPr>
      </w:pPr>
    </w:p>
    <w:p w:rsidR="00546615" w:rsidRPr="003C1A43" w:rsidRDefault="00546615" w:rsidP="00546615">
      <w:pPr>
        <w:pStyle w:val="BodyText3"/>
        <w:jc w:val="center"/>
        <w:rPr>
          <w:rFonts w:ascii="Bookman Old Style" w:hAnsi="Bookman Old Style"/>
          <w:b w:val="0"/>
          <w:bCs/>
          <w:sz w:val="28"/>
        </w:rPr>
      </w:pPr>
    </w:p>
    <w:p w:rsidR="00546615" w:rsidRDefault="00546615" w:rsidP="00546615">
      <w:pPr>
        <w:pStyle w:val="BodyText3"/>
        <w:jc w:val="center"/>
        <w:rPr>
          <w:rFonts w:ascii="Bookman Old Style" w:hAnsi="Bookman Old Style"/>
          <w:b w:val="0"/>
          <w:bCs/>
          <w:sz w:val="28"/>
        </w:rPr>
      </w:pPr>
    </w:p>
    <w:p w:rsidR="001E09D1" w:rsidRDefault="001E09D1" w:rsidP="00546615">
      <w:pPr>
        <w:pStyle w:val="BodyText3"/>
        <w:jc w:val="center"/>
        <w:rPr>
          <w:rFonts w:ascii="Bookman Old Style" w:hAnsi="Bookman Old Style"/>
          <w:b w:val="0"/>
          <w:bCs/>
          <w:sz w:val="28"/>
        </w:rPr>
      </w:pPr>
    </w:p>
    <w:p w:rsidR="001E09D1" w:rsidRDefault="001E09D1" w:rsidP="00546615">
      <w:pPr>
        <w:pStyle w:val="BodyText3"/>
        <w:jc w:val="center"/>
        <w:rPr>
          <w:rFonts w:ascii="Bookman Old Style" w:hAnsi="Bookman Old Style"/>
          <w:b w:val="0"/>
          <w:bCs/>
          <w:sz w:val="28"/>
        </w:rPr>
      </w:pPr>
    </w:p>
    <w:p w:rsidR="001E09D1" w:rsidRDefault="001E09D1" w:rsidP="00546615">
      <w:pPr>
        <w:pStyle w:val="BodyText3"/>
        <w:jc w:val="center"/>
        <w:rPr>
          <w:rFonts w:ascii="Bookman Old Style" w:hAnsi="Bookman Old Style"/>
          <w:b w:val="0"/>
          <w:bCs/>
          <w:sz w:val="28"/>
        </w:rPr>
      </w:pPr>
    </w:p>
    <w:p w:rsidR="001E09D1" w:rsidRPr="003C1A43" w:rsidRDefault="001E09D1" w:rsidP="00546615">
      <w:pPr>
        <w:pStyle w:val="BodyText3"/>
        <w:jc w:val="center"/>
        <w:rPr>
          <w:rFonts w:ascii="Bookman Old Style" w:hAnsi="Bookman Old Style"/>
          <w:b w:val="0"/>
          <w:bCs/>
          <w:sz w:val="28"/>
        </w:rPr>
      </w:pPr>
    </w:p>
    <w:p w:rsidR="00546615" w:rsidRPr="003C1A43" w:rsidRDefault="00546615" w:rsidP="00546615">
      <w:pPr>
        <w:pStyle w:val="BodyText3"/>
        <w:jc w:val="center"/>
        <w:rPr>
          <w:rFonts w:ascii="Bookman Old Style" w:hAnsi="Bookman Old Style"/>
          <w:b w:val="0"/>
          <w:bCs/>
          <w:sz w:val="28"/>
        </w:rPr>
      </w:pPr>
    </w:p>
    <w:p w:rsidR="00546615" w:rsidRPr="003C1A43" w:rsidRDefault="00546615" w:rsidP="00546615">
      <w:pPr>
        <w:pStyle w:val="BodyText3"/>
        <w:jc w:val="center"/>
        <w:rPr>
          <w:rFonts w:ascii="Bookman Old Style" w:hAnsi="Bookman Old Style"/>
          <w:b w:val="0"/>
          <w:bCs/>
          <w:sz w:val="28"/>
        </w:rPr>
      </w:pPr>
    </w:p>
    <w:p w:rsidR="00546615" w:rsidRPr="003C1A43" w:rsidRDefault="00546615" w:rsidP="00546615">
      <w:pPr>
        <w:pStyle w:val="BodyText3"/>
        <w:jc w:val="center"/>
        <w:rPr>
          <w:rFonts w:ascii="Bookman Old Style" w:hAnsi="Bookman Old Style"/>
          <w:b w:val="0"/>
          <w:bCs/>
          <w:sz w:val="28"/>
        </w:rPr>
      </w:pPr>
    </w:p>
    <w:p w:rsidR="00546615" w:rsidRPr="001E09D1" w:rsidRDefault="00546615" w:rsidP="001E09D1">
      <w:pPr>
        <w:pStyle w:val="BodyText3"/>
        <w:jc w:val="center"/>
        <w:rPr>
          <w:rFonts w:ascii="Bookman Old Style" w:hAnsi="Bookman Old Style"/>
          <w:bCs/>
          <w:sz w:val="28"/>
        </w:rPr>
      </w:pPr>
      <w:r w:rsidRPr="001E09D1">
        <w:rPr>
          <w:rFonts w:ascii="Bookman Old Style" w:hAnsi="Bookman Old Style"/>
          <w:bCs/>
          <w:sz w:val="28"/>
        </w:rPr>
        <w:t>September 2016</w:t>
      </w:r>
    </w:p>
    <w:p w:rsidR="004B3D87" w:rsidRPr="008A4475" w:rsidRDefault="008A4475" w:rsidP="00582743">
      <w:pPr>
        <w:numPr>
          <w:ilvl w:val="0"/>
          <w:numId w:val="1"/>
        </w:numPr>
        <w:rPr>
          <w:b/>
          <w:sz w:val="24"/>
          <w:szCs w:val="24"/>
          <w:lang w:val="en-GB"/>
        </w:rPr>
      </w:pPr>
      <w:r w:rsidRPr="008A4475">
        <w:rPr>
          <w:b/>
          <w:sz w:val="24"/>
          <w:szCs w:val="24"/>
          <w:lang w:val="en-GB"/>
        </w:rPr>
        <w:lastRenderedPageBreak/>
        <w:t>OVERVIEW OF BUDGET REQUIREMENT ISSUES IN 2016/17 AND RESOLUTIONS</w:t>
      </w:r>
    </w:p>
    <w:p w:rsidR="0011459A" w:rsidRPr="008A4475" w:rsidRDefault="008A4475" w:rsidP="00582743">
      <w:pPr>
        <w:rPr>
          <w:sz w:val="24"/>
          <w:szCs w:val="24"/>
          <w:lang w:val="en-GB"/>
        </w:rPr>
      </w:pPr>
      <w:r>
        <w:rPr>
          <w:sz w:val="24"/>
          <w:szCs w:val="24"/>
          <w:lang w:val="en-GB"/>
        </w:rPr>
        <w:t>Below are some of the issues that arose during budget preparation for FY 2016/17.</w:t>
      </w:r>
    </w:p>
    <w:tbl>
      <w:tblPr>
        <w:tblStyle w:val="TableGrid"/>
        <w:tblW w:w="0" w:type="auto"/>
        <w:tblLook w:val="04A0" w:firstRow="1" w:lastRow="0" w:firstColumn="1" w:lastColumn="0" w:noHBand="0" w:noVBand="1"/>
      </w:tblPr>
      <w:tblGrid>
        <w:gridCol w:w="591"/>
        <w:gridCol w:w="1476"/>
        <w:gridCol w:w="3206"/>
        <w:gridCol w:w="4303"/>
      </w:tblGrid>
      <w:tr w:rsidR="00620D16" w:rsidRPr="008A4475" w:rsidTr="0011459A">
        <w:tc>
          <w:tcPr>
            <w:tcW w:w="0" w:type="auto"/>
          </w:tcPr>
          <w:p w:rsidR="0011459A" w:rsidRPr="008A4475" w:rsidRDefault="0011459A" w:rsidP="00582743">
            <w:pPr>
              <w:rPr>
                <w:b/>
                <w:sz w:val="24"/>
                <w:szCs w:val="24"/>
                <w:lang w:val="en-GB"/>
              </w:rPr>
            </w:pPr>
            <w:r w:rsidRPr="008A4475">
              <w:rPr>
                <w:b/>
                <w:sz w:val="24"/>
                <w:szCs w:val="24"/>
                <w:lang w:val="en-GB"/>
              </w:rPr>
              <w:t>S/N</w:t>
            </w:r>
          </w:p>
        </w:tc>
        <w:tc>
          <w:tcPr>
            <w:tcW w:w="0" w:type="auto"/>
          </w:tcPr>
          <w:p w:rsidR="0011459A" w:rsidRPr="008A4475" w:rsidRDefault="0011459A" w:rsidP="00582743">
            <w:pPr>
              <w:rPr>
                <w:b/>
                <w:sz w:val="24"/>
                <w:szCs w:val="24"/>
                <w:lang w:val="en-GB"/>
              </w:rPr>
            </w:pPr>
            <w:r w:rsidRPr="008A4475">
              <w:rPr>
                <w:b/>
                <w:sz w:val="24"/>
                <w:szCs w:val="24"/>
                <w:lang w:val="en-GB"/>
              </w:rPr>
              <w:t>ITEM</w:t>
            </w:r>
          </w:p>
        </w:tc>
        <w:tc>
          <w:tcPr>
            <w:tcW w:w="0" w:type="auto"/>
          </w:tcPr>
          <w:p w:rsidR="0011459A" w:rsidRPr="008A4475" w:rsidRDefault="0011459A" w:rsidP="00582743">
            <w:pPr>
              <w:rPr>
                <w:b/>
                <w:sz w:val="24"/>
                <w:szCs w:val="24"/>
                <w:lang w:val="en-GB"/>
              </w:rPr>
            </w:pPr>
            <w:r w:rsidRPr="008A4475">
              <w:rPr>
                <w:b/>
                <w:sz w:val="24"/>
                <w:szCs w:val="24"/>
                <w:lang w:val="en-GB"/>
              </w:rPr>
              <w:t>ISSUE</w:t>
            </w:r>
          </w:p>
        </w:tc>
        <w:tc>
          <w:tcPr>
            <w:tcW w:w="0" w:type="auto"/>
          </w:tcPr>
          <w:p w:rsidR="0011459A" w:rsidRPr="008A4475" w:rsidRDefault="0011459A" w:rsidP="00582743">
            <w:pPr>
              <w:rPr>
                <w:b/>
                <w:sz w:val="24"/>
                <w:szCs w:val="24"/>
                <w:lang w:val="en-GB"/>
              </w:rPr>
            </w:pPr>
            <w:r w:rsidRPr="008A4475">
              <w:rPr>
                <w:b/>
                <w:sz w:val="24"/>
                <w:szCs w:val="24"/>
                <w:lang w:val="en-GB"/>
              </w:rPr>
              <w:t>PROPOSED CHANGES</w:t>
            </w:r>
          </w:p>
        </w:tc>
      </w:tr>
      <w:tr w:rsidR="00620D16" w:rsidRPr="008A4475" w:rsidTr="0011459A">
        <w:tc>
          <w:tcPr>
            <w:tcW w:w="0" w:type="auto"/>
          </w:tcPr>
          <w:p w:rsidR="0011459A" w:rsidRPr="008A4475" w:rsidRDefault="0011459A" w:rsidP="0011459A">
            <w:pPr>
              <w:jc w:val="both"/>
              <w:rPr>
                <w:sz w:val="24"/>
                <w:szCs w:val="24"/>
                <w:lang w:val="en-GB"/>
              </w:rPr>
            </w:pPr>
            <w:r w:rsidRPr="008A4475">
              <w:rPr>
                <w:sz w:val="24"/>
                <w:szCs w:val="24"/>
                <w:lang w:val="en-GB"/>
              </w:rPr>
              <w:t>1</w:t>
            </w:r>
          </w:p>
        </w:tc>
        <w:tc>
          <w:tcPr>
            <w:tcW w:w="0" w:type="auto"/>
          </w:tcPr>
          <w:p w:rsidR="0011459A" w:rsidRPr="008A4475" w:rsidRDefault="0011459A" w:rsidP="0011459A">
            <w:pPr>
              <w:jc w:val="both"/>
              <w:rPr>
                <w:sz w:val="24"/>
                <w:szCs w:val="24"/>
                <w:lang w:val="en-GB"/>
              </w:rPr>
            </w:pPr>
            <w:r w:rsidRPr="008A4475">
              <w:rPr>
                <w:sz w:val="24"/>
                <w:szCs w:val="24"/>
                <w:lang w:val="en-GB"/>
              </w:rPr>
              <w:t>Inspection / DEOs facilitation  grant</w:t>
            </w:r>
          </w:p>
        </w:tc>
        <w:tc>
          <w:tcPr>
            <w:tcW w:w="0" w:type="auto"/>
          </w:tcPr>
          <w:p w:rsidR="0011459A" w:rsidRPr="008A4475" w:rsidRDefault="0011459A" w:rsidP="0011459A">
            <w:pPr>
              <w:jc w:val="both"/>
              <w:rPr>
                <w:sz w:val="24"/>
                <w:szCs w:val="24"/>
                <w:lang w:val="en-GB"/>
              </w:rPr>
            </w:pPr>
            <w:r w:rsidRPr="008A4475">
              <w:rPr>
                <w:sz w:val="24"/>
                <w:szCs w:val="24"/>
              </w:rPr>
              <w:t>Allocation of 10% of Sector Non-Wage to the Monitoring grant left many votes with inadequate allocations towards inspection</w:t>
            </w:r>
          </w:p>
        </w:tc>
        <w:tc>
          <w:tcPr>
            <w:tcW w:w="0" w:type="auto"/>
          </w:tcPr>
          <w:p w:rsidR="0011459A" w:rsidRPr="008A4475" w:rsidRDefault="0011459A" w:rsidP="00AF2C73">
            <w:pPr>
              <w:jc w:val="both"/>
              <w:rPr>
                <w:sz w:val="24"/>
                <w:szCs w:val="24"/>
                <w:lang w:val="en-GB"/>
              </w:rPr>
            </w:pPr>
            <w:r w:rsidRPr="008A4475">
              <w:rPr>
                <w:sz w:val="24"/>
                <w:szCs w:val="24"/>
              </w:rPr>
              <w:t xml:space="preserve">Inspection grant and Funds for facilitation of DEOs should be carved out of the </w:t>
            </w:r>
            <w:r w:rsidR="00620D16">
              <w:rPr>
                <w:sz w:val="24"/>
                <w:szCs w:val="24"/>
              </w:rPr>
              <w:t>Primary Non-Wage</w:t>
            </w:r>
            <w:r w:rsidRPr="008A4475">
              <w:rPr>
                <w:sz w:val="24"/>
                <w:szCs w:val="24"/>
              </w:rPr>
              <w:t xml:space="preserve"> basing on the stated formula in the guidelines maintaining a threshold of Ushs.4m and Ushs.4.5m for inspection and DEO’s facilitation grants respectively.</w:t>
            </w:r>
            <w:r w:rsidR="00620D16">
              <w:rPr>
                <w:sz w:val="24"/>
                <w:szCs w:val="24"/>
              </w:rPr>
              <w:t xml:space="preserve"> The Variable shall be based on the number of institutions/ schools in a local Government.</w:t>
            </w:r>
            <w:r w:rsidRPr="008A4475">
              <w:rPr>
                <w:sz w:val="24"/>
                <w:szCs w:val="24"/>
              </w:rPr>
              <w:t xml:space="preserve"> The </w:t>
            </w:r>
            <w:r w:rsidR="00AF2C73">
              <w:rPr>
                <w:sz w:val="24"/>
                <w:szCs w:val="24"/>
              </w:rPr>
              <w:t>Local Government discretion to charge 10% of Non-Wage should</w:t>
            </w:r>
            <w:r w:rsidRPr="008A4475">
              <w:rPr>
                <w:sz w:val="24"/>
                <w:szCs w:val="24"/>
              </w:rPr>
              <w:t xml:space="preserve"> be applied after the capitation grants register an increase beyond the current ceilings</w:t>
            </w:r>
          </w:p>
        </w:tc>
      </w:tr>
      <w:tr w:rsidR="00620D16" w:rsidRPr="008A4475" w:rsidTr="0011459A">
        <w:tc>
          <w:tcPr>
            <w:tcW w:w="0" w:type="auto"/>
          </w:tcPr>
          <w:p w:rsidR="0011459A" w:rsidRPr="008A4475" w:rsidRDefault="0011459A" w:rsidP="0011459A">
            <w:pPr>
              <w:jc w:val="both"/>
              <w:rPr>
                <w:sz w:val="24"/>
                <w:szCs w:val="24"/>
                <w:lang w:val="en-GB"/>
              </w:rPr>
            </w:pPr>
            <w:r w:rsidRPr="008A4475">
              <w:rPr>
                <w:sz w:val="24"/>
                <w:szCs w:val="24"/>
                <w:lang w:val="en-GB"/>
              </w:rPr>
              <w:t>2</w:t>
            </w:r>
          </w:p>
        </w:tc>
        <w:tc>
          <w:tcPr>
            <w:tcW w:w="0" w:type="auto"/>
          </w:tcPr>
          <w:p w:rsidR="0011459A" w:rsidRPr="008A4475" w:rsidRDefault="0011459A" w:rsidP="0011459A">
            <w:pPr>
              <w:jc w:val="both"/>
              <w:rPr>
                <w:sz w:val="24"/>
                <w:szCs w:val="24"/>
                <w:lang w:val="en-GB"/>
              </w:rPr>
            </w:pPr>
            <w:r w:rsidRPr="008A4475">
              <w:rPr>
                <w:sz w:val="24"/>
                <w:szCs w:val="24"/>
                <w:lang w:val="en-GB"/>
              </w:rPr>
              <w:t>UPE Grant</w:t>
            </w:r>
          </w:p>
        </w:tc>
        <w:tc>
          <w:tcPr>
            <w:tcW w:w="0" w:type="auto"/>
          </w:tcPr>
          <w:p w:rsidR="0011459A" w:rsidRPr="008A4475" w:rsidRDefault="0011459A" w:rsidP="0011459A">
            <w:pPr>
              <w:jc w:val="both"/>
              <w:rPr>
                <w:sz w:val="24"/>
                <w:szCs w:val="24"/>
                <w:lang w:val="en-GB"/>
              </w:rPr>
            </w:pPr>
            <w:r w:rsidRPr="008A4475">
              <w:rPr>
                <w:sz w:val="24"/>
                <w:szCs w:val="24"/>
                <w:lang w:val="en-GB"/>
              </w:rPr>
              <w:t>According to the earlier guidelines, allocation of UPE was to be based on a unit cost of 7,000 per pupil for schools with more than 192 pupils which led to under allocation of the grant for some schools</w:t>
            </w:r>
          </w:p>
        </w:tc>
        <w:tc>
          <w:tcPr>
            <w:tcW w:w="0" w:type="auto"/>
          </w:tcPr>
          <w:p w:rsidR="0011459A" w:rsidRPr="008A4475" w:rsidRDefault="0011459A" w:rsidP="00AF2C73">
            <w:pPr>
              <w:jc w:val="both"/>
              <w:rPr>
                <w:sz w:val="24"/>
                <w:szCs w:val="24"/>
                <w:lang w:val="en-GB"/>
              </w:rPr>
            </w:pPr>
            <w:r w:rsidRPr="008A4475">
              <w:rPr>
                <w:sz w:val="24"/>
                <w:szCs w:val="24"/>
                <w:lang w:val="en-GB"/>
              </w:rPr>
              <w:t xml:space="preserve">The guidelines have been adjusted to ensure that the </w:t>
            </w:r>
            <w:r w:rsidR="00AF2C73">
              <w:rPr>
                <w:sz w:val="24"/>
                <w:szCs w:val="24"/>
                <w:lang w:val="en-GB"/>
              </w:rPr>
              <w:t>Enrolment</w:t>
            </w:r>
            <w:r w:rsidRPr="008A4475">
              <w:rPr>
                <w:sz w:val="24"/>
                <w:szCs w:val="24"/>
                <w:lang w:val="en-GB"/>
              </w:rPr>
              <w:t xml:space="preserve">  and  the District variable are  used in the computation of the budget of the UPE grant per school</w:t>
            </w:r>
          </w:p>
        </w:tc>
      </w:tr>
      <w:tr w:rsidR="00620D16" w:rsidRPr="008A4475" w:rsidTr="0011459A">
        <w:tc>
          <w:tcPr>
            <w:tcW w:w="0" w:type="auto"/>
          </w:tcPr>
          <w:p w:rsidR="0011459A" w:rsidRPr="008A4475" w:rsidRDefault="0011459A" w:rsidP="0011459A">
            <w:pPr>
              <w:jc w:val="both"/>
              <w:rPr>
                <w:sz w:val="24"/>
                <w:szCs w:val="24"/>
                <w:lang w:val="en-GB"/>
              </w:rPr>
            </w:pPr>
            <w:r w:rsidRPr="008A4475">
              <w:rPr>
                <w:sz w:val="24"/>
                <w:szCs w:val="24"/>
                <w:lang w:val="en-GB"/>
              </w:rPr>
              <w:t>3</w:t>
            </w:r>
          </w:p>
        </w:tc>
        <w:tc>
          <w:tcPr>
            <w:tcW w:w="0" w:type="auto"/>
          </w:tcPr>
          <w:p w:rsidR="0011459A" w:rsidRPr="008A4475" w:rsidRDefault="0011459A" w:rsidP="0011459A">
            <w:pPr>
              <w:jc w:val="both"/>
              <w:rPr>
                <w:sz w:val="24"/>
                <w:szCs w:val="24"/>
                <w:lang w:val="en-GB"/>
              </w:rPr>
            </w:pPr>
            <w:r w:rsidRPr="008A4475">
              <w:rPr>
                <w:sz w:val="24"/>
                <w:szCs w:val="24"/>
                <w:lang w:val="en-GB"/>
              </w:rPr>
              <w:t>Lightening Arrestors</w:t>
            </w:r>
          </w:p>
        </w:tc>
        <w:tc>
          <w:tcPr>
            <w:tcW w:w="0" w:type="auto"/>
          </w:tcPr>
          <w:p w:rsidR="0011459A" w:rsidRPr="008A4475" w:rsidRDefault="00620D16" w:rsidP="00620D16">
            <w:pPr>
              <w:jc w:val="both"/>
              <w:rPr>
                <w:sz w:val="24"/>
                <w:szCs w:val="24"/>
                <w:lang w:val="en-GB"/>
              </w:rPr>
            </w:pPr>
            <w:r>
              <w:rPr>
                <w:sz w:val="24"/>
                <w:szCs w:val="24"/>
              </w:rPr>
              <w:t>There have been cases of loss of lives due to lack</w:t>
            </w:r>
            <w:r w:rsidR="0011459A" w:rsidRPr="008A4475">
              <w:rPr>
                <w:sz w:val="24"/>
                <w:szCs w:val="24"/>
              </w:rPr>
              <w:t xml:space="preserve"> of lightening arrestors</w:t>
            </w:r>
            <w:r>
              <w:rPr>
                <w:sz w:val="24"/>
                <w:szCs w:val="24"/>
              </w:rPr>
              <w:t xml:space="preserve"> in a number of schools</w:t>
            </w:r>
            <w:r w:rsidR="0011459A" w:rsidRPr="008A4475">
              <w:rPr>
                <w:sz w:val="24"/>
                <w:szCs w:val="24"/>
              </w:rPr>
              <w:t>. Since there was no separate budget for the arrestors, many Local Governments did not budget for them</w:t>
            </w:r>
          </w:p>
        </w:tc>
        <w:tc>
          <w:tcPr>
            <w:tcW w:w="0" w:type="auto"/>
          </w:tcPr>
          <w:p w:rsidR="0011459A" w:rsidRPr="008A4475" w:rsidRDefault="0011459A" w:rsidP="00620D16">
            <w:pPr>
              <w:jc w:val="both"/>
              <w:rPr>
                <w:sz w:val="24"/>
                <w:szCs w:val="24"/>
                <w:lang w:val="en-GB"/>
              </w:rPr>
            </w:pPr>
            <w:r w:rsidRPr="008A4475">
              <w:rPr>
                <w:sz w:val="24"/>
                <w:szCs w:val="24"/>
              </w:rPr>
              <w:t xml:space="preserve">Lightening arrestors </w:t>
            </w:r>
            <w:r w:rsidR="00620D16">
              <w:rPr>
                <w:sz w:val="24"/>
                <w:szCs w:val="24"/>
              </w:rPr>
              <w:t xml:space="preserve">should be prioritized </w:t>
            </w:r>
            <w:r w:rsidRPr="008A4475">
              <w:rPr>
                <w:sz w:val="24"/>
                <w:szCs w:val="24"/>
              </w:rPr>
              <w:t xml:space="preserve">especially for those districts that </w:t>
            </w:r>
            <w:r w:rsidR="00620D16">
              <w:rPr>
                <w:sz w:val="24"/>
                <w:szCs w:val="24"/>
              </w:rPr>
              <w:t xml:space="preserve">are prone to lightening </w:t>
            </w:r>
            <w:r w:rsidRPr="008A4475">
              <w:rPr>
                <w:sz w:val="24"/>
                <w:szCs w:val="24"/>
              </w:rPr>
              <w:t xml:space="preserve"> </w:t>
            </w:r>
            <w:r w:rsidR="00AF2C73">
              <w:rPr>
                <w:sz w:val="24"/>
                <w:szCs w:val="24"/>
              </w:rPr>
              <w:t>within available funds to Local Governments meanwhile the Sector continues to lobby for additional funds.</w:t>
            </w:r>
          </w:p>
        </w:tc>
      </w:tr>
    </w:tbl>
    <w:p w:rsidR="0011459A" w:rsidRPr="008A4475" w:rsidRDefault="0011459A" w:rsidP="00582743">
      <w:pPr>
        <w:rPr>
          <w:sz w:val="24"/>
          <w:szCs w:val="24"/>
          <w:lang w:val="en-GB"/>
        </w:rPr>
      </w:pPr>
    </w:p>
    <w:p w:rsidR="00582743" w:rsidRPr="008A4475" w:rsidRDefault="00582743" w:rsidP="00582743">
      <w:pPr>
        <w:rPr>
          <w:sz w:val="24"/>
          <w:szCs w:val="24"/>
          <w:lang w:val="en-GB"/>
        </w:rPr>
      </w:pPr>
    </w:p>
    <w:p w:rsidR="00582743" w:rsidRPr="008A4475" w:rsidRDefault="008A4475" w:rsidP="00582743">
      <w:pPr>
        <w:numPr>
          <w:ilvl w:val="0"/>
          <w:numId w:val="1"/>
        </w:numPr>
        <w:rPr>
          <w:b/>
          <w:sz w:val="24"/>
          <w:szCs w:val="24"/>
          <w:lang w:val="en-GB"/>
        </w:rPr>
      </w:pPr>
      <w:r w:rsidRPr="008A4475">
        <w:rPr>
          <w:b/>
          <w:sz w:val="24"/>
          <w:szCs w:val="24"/>
          <w:lang w:val="en-GB"/>
        </w:rPr>
        <w:t>OVERVIEW OF THE 2017/18 BUDGET GUIDELINES</w:t>
      </w:r>
      <w:r>
        <w:rPr>
          <w:b/>
          <w:sz w:val="24"/>
          <w:szCs w:val="24"/>
          <w:lang w:val="en-GB"/>
        </w:rPr>
        <w:t>:</w:t>
      </w:r>
    </w:p>
    <w:p w:rsidR="004B3D87" w:rsidRPr="008A4475" w:rsidRDefault="008A4475" w:rsidP="008A4475">
      <w:pPr>
        <w:ind w:left="360"/>
        <w:rPr>
          <w:b/>
          <w:sz w:val="24"/>
          <w:szCs w:val="24"/>
          <w:lang w:val="en-GB"/>
        </w:rPr>
      </w:pPr>
      <w:r w:rsidRPr="008A4475">
        <w:rPr>
          <w:b/>
          <w:sz w:val="24"/>
          <w:szCs w:val="24"/>
          <w:lang w:val="en-GB"/>
        </w:rPr>
        <w:t xml:space="preserve">2.1. </w:t>
      </w:r>
      <w:r w:rsidR="00BB62F1" w:rsidRPr="008A4475">
        <w:rPr>
          <w:b/>
          <w:sz w:val="24"/>
          <w:szCs w:val="24"/>
          <w:lang w:val="en-GB"/>
        </w:rPr>
        <w:t>Sector Priorities</w:t>
      </w:r>
      <w:r>
        <w:rPr>
          <w:b/>
          <w:sz w:val="24"/>
          <w:szCs w:val="24"/>
          <w:lang w:val="en-GB"/>
        </w:rPr>
        <w:t>:</w:t>
      </w:r>
    </w:p>
    <w:p w:rsidR="008A4475" w:rsidRPr="008A4475" w:rsidRDefault="008A4475" w:rsidP="008A4475">
      <w:pPr>
        <w:ind w:left="360"/>
        <w:jc w:val="both"/>
        <w:rPr>
          <w:sz w:val="24"/>
          <w:szCs w:val="24"/>
          <w:lang w:val="en-GB"/>
        </w:rPr>
      </w:pPr>
      <w:r w:rsidRPr="008A4475">
        <w:rPr>
          <w:sz w:val="24"/>
          <w:szCs w:val="24"/>
          <w:lang w:val="en-GB"/>
        </w:rPr>
        <w:t>The National Development Plan (NDP) II indicates that the broad sector objectives in the medium term shall continue to focus on:</w:t>
      </w:r>
    </w:p>
    <w:p w:rsidR="008A4475" w:rsidRPr="008A4475" w:rsidRDefault="008A4475" w:rsidP="008A4475">
      <w:pPr>
        <w:pStyle w:val="ListParagraph"/>
        <w:numPr>
          <w:ilvl w:val="0"/>
          <w:numId w:val="4"/>
        </w:numPr>
        <w:jc w:val="both"/>
        <w:rPr>
          <w:sz w:val="24"/>
          <w:szCs w:val="24"/>
          <w:lang w:val="en-GB"/>
        </w:rPr>
      </w:pPr>
      <w:r w:rsidRPr="008A4475">
        <w:rPr>
          <w:sz w:val="24"/>
          <w:szCs w:val="24"/>
          <w:lang w:val="en-GB"/>
        </w:rPr>
        <w:t>Expansion of access to equitable and quality education and training at all levels</w:t>
      </w:r>
    </w:p>
    <w:p w:rsidR="008A4475" w:rsidRPr="008A4475" w:rsidRDefault="008A4475" w:rsidP="008A4475">
      <w:pPr>
        <w:pStyle w:val="ListParagraph"/>
        <w:numPr>
          <w:ilvl w:val="0"/>
          <w:numId w:val="4"/>
        </w:numPr>
        <w:jc w:val="both"/>
        <w:rPr>
          <w:sz w:val="24"/>
          <w:szCs w:val="24"/>
          <w:lang w:val="en-GB"/>
        </w:rPr>
      </w:pPr>
      <w:r w:rsidRPr="008A4475">
        <w:rPr>
          <w:sz w:val="24"/>
          <w:szCs w:val="24"/>
          <w:lang w:val="en-GB"/>
        </w:rPr>
        <w:t>Ensure delivery of relevant and quality education and training as well as</w:t>
      </w:r>
    </w:p>
    <w:p w:rsidR="008A4475" w:rsidRPr="008A4475" w:rsidRDefault="008A4475" w:rsidP="008A4475">
      <w:pPr>
        <w:pStyle w:val="ListParagraph"/>
        <w:numPr>
          <w:ilvl w:val="0"/>
          <w:numId w:val="4"/>
        </w:numPr>
        <w:jc w:val="both"/>
        <w:rPr>
          <w:sz w:val="24"/>
          <w:szCs w:val="24"/>
          <w:lang w:val="en-GB"/>
        </w:rPr>
      </w:pPr>
      <w:r w:rsidRPr="008A4475">
        <w:rPr>
          <w:sz w:val="24"/>
          <w:szCs w:val="24"/>
          <w:lang w:val="en-GB"/>
        </w:rPr>
        <w:lastRenderedPageBreak/>
        <w:t>Enhancement of efficiency and effectiveness in service delivery.</w:t>
      </w:r>
    </w:p>
    <w:p w:rsidR="008A4475" w:rsidRPr="008A4475" w:rsidRDefault="008A4475" w:rsidP="008A4475">
      <w:pPr>
        <w:ind w:left="360"/>
        <w:jc w:val="both"/>
        <w:rPr>
          <w:sz w:val="24"/>
          <w:szCs w:val="24"/>
          <w:lang w:val="en-GB"/>
        </w:rPr>
      </w:pPr>
    </w:p>
    <w:p w:rsidR="008A4475" w:rsidRPr="008A4475" w:rsidRDefault="008A4475" w:rsidP="008A4475">
      <w:pPr>
        <w:ind w:left="360"/>
        <w:jc w:val="both"/>
        <w:rPr>
          <w:sz w:val="24"/>
          <w:szCs w:val="24"/>
          <w:lang w:val="en-GB"/>
        </w:rPr>
      </w:pPr>
      <w:r w:rsidRPr="008A4475">
        <w:rPr>
          <w:sz w:val="24"/>
          <w:szCs w:val="24"/>
          <w:lang w:val="en-GB"/>
        </w:rPr>
        <w:t>The sector policy thrusts outlined in</w:t>
      </w:r>
      <w:r>
        <w:rPr>
          <w:sz w:val="24"/>
          <w:szCs w:val="24"/>
          <w:lang w:val="en-GB"/>
        </w:rPr>
        <w:t xml:space="preserve"> NDP II include the following: </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Universal Primary Education (UPE).  This embraces the pro</w:t>
      </w:r>
      <w:r w:rsidR="00AF2C73">
        <w:rPr>
          <w:sz w:val="24"/>
          <w:szCs w:val="24"/>
          <w:lang w:val="en-GB"/>
        </w:rPr>
        <w:t>vision of pre-primary education</w:t>
      </w:r>
      <w:r w:rsidRPr="008A4475">
        <w:rPr>
          <w:sz w:val="24"/>
          <w:szCs w:val="24"/>
          <w:lang w:val="en-GB"/>
        </w:rPr>
        <w:t xml:space="preserve">. </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Universal Secondary Education (USE)</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Enhancement of Schools Inspection Grant at all levels</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Health Training Institution</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Universal Post Primary Education and Training (UPPET)</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School Facilities Grant (SFG) at both Primary and Secondary.</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Quality Enhancement</w:t>
      </w:r>
    </w:p>
    <w:p w:rsidR="008A4475" w:rsidRPr="008A4475" w:rsidRDefault="008A4475" w:rsidP="008A4475">
      <w:pPr>
        <w:pStyle w:val="ListParagraph"/>
        <w:numPr>
          <w:ilvl w:val="0"/>
          <w:numId w:val="3"/>
        </w:numPr>
        <w:jc w:val="both"/>
        <w:rPr>
          <w:sz w:val="24"/>
          <w:szCs w:val="24"/>
          <w:lang w:val="en-GB"/>
        </w:rPr>
      </w:pPr>
      <w:r w:rsidRPr="008A4475">
        <w:rPr>
          <w:sz w:val="24"/>
          <w:szCs w:val="24"/>
          <w:lang w:val="en-GB"/>
        </w:rPr>
        <w:t xml:space="preserve">Higher Education: Despite the increased enrolment in university education, student enrolment in science and technology programs at both private and public universities is still low.   </w:t>
      </w:r>
    </w:p>
    <w:p w:rsidR="008A4475" w:rsidRPr="008A4475" w:rsidRDefault="008A4475" w:rsidP="008A4475">
      <w:pPr>
        <w:ind w:left="360"/>
        <w:jc w:val="both"/>
        <w:rPr>
          <w:sz w:val="24"/>
          <w:szCs w:val="24"/>
          <w:lang w:val="en-GB"/>
        </w:rPr>
      </w:pPr>
      <w:r w:rsidRPr="008A4475">
        <w:rPr>
          <w:sz w:val="24"/>
          <w:szCs w:val="24"/>
          <w:lang w:val="en-GB"/>
        </w:rPr>
        <w:t>The sub-sectoral policy objectives continue to mirror the broad sector strategic objectives and policy thrusts.   However, meeting the quality standards remains a challenge overriding policy concern for the sector and across all the sub-sectors</w:t>
      </w:r>
    </w:p>
    <w:p w:rsidR="008A4475" w:rsidRPr="008A4475" w:rsidRDefault="008A4475" w:rsidP="008A4475">
      <w:pPr>
        <w:ind w:left="360"/>
        <w:jc w:val="both"/>
        <w:rPr>
          <w:sz w:val="24"/>
          <w:szCs w:val="24"/>
          <w:lang w:val="en-GB"/>
        </w:rPr>
      </w:pPr>
      <w:r w:rsidRPr="008A4475">
        <w:rPr>
          <w:sz w:val="24"/>
          <w:szCs w:val="24"/>
          <w:lang w:val="en-GB"/>
        </w:rPr>
        <w:t>While some progress has been made towards skilling the Ugandan labour force, the economy still faces substantial skills gaps i</w:t>
      </w:r>
      <w:r>
        <w:rPr>
          <w:sz w:val="24"/>
          <w:szCs w:val="24"/>
          <w:lang w:val="en-GB"/>
        </w:rPr>
        <w:t xml:space="preserve">n key sectors of the economy.  </w:t>
      </w:r>
    </w:p>
    <w:p w:rsidR="008A4475" w:rsidRPr="008A4475" w:rsidRDefault="008A4475" w:rsidP="008A4475">
      <w:pPr>
        <w:ind w:left="360"/>
        <w:jc w:val="both"/>
        <w:rPr>
          <w:sz w:val="24"/>
          <w:szCs w:val="24"/>
          <w:lang w:val="en-GB"/>
        </w:rPr>
      </w:pPr>
      <w:r w:rsidRPr="008A4475">
        <w:rPr>
          <w:sz w:val="24"/>
          <w:szCs w:val="24"/>
          <w:lang w:val="en-GB"/>
        </w:rPr>
        <w:t>Over the past five years, progress has been made mainly in formal areas of Business, Technical, Vocational Education and Training (BTVET) registering increased student enrolments.  However, the number of vacancies available in BTVET institutions compared to demand from primary and S1-S4 leavers still falls short by 60 percent.</w:t>
      </w:r>
    </w:p>
    <w:p w:rsidR="008A4475" w:rsidRDefault="008A4475" w:rsidP="008A4475">
      <w:pPr>
        <w:ind w:left="360"/>
        <w:rPr>
          <w:sz w:val="24"/>
          <w:szCs w:val="24"/>
          <w:lang w:val="en-GB"/>
        </w:rPr>
      </w:pPr>
    </w:p>
    <w:p w:rsidR="008A4475" w:rsidRPr="00546615" w:rsidRDefault="008A4475" w:rsidP="00546615">
      <w:pPr>
        <w:ind w:left="360"/>
        <w:rPr>
          <w:b/>
          <w:sz w:val="24"/>
          <w:szCs w:val="24"/>
          <w:lang w:val="en-GB"/>
        </w:rPr>
      </w:pPr>
      <w:r w:rsidRPr="008A4475">
        <w:rPr>
          <w:b/>
          <w:sz w:val="24"/>
          <w:szCs w:val="24"/>
          <w:lang w:val="en-GB"/>
        </w:rPr>
        <w:t xml:space="preserve">2.2. </w:t>
      </w:r>
      <w:r w:rsidR="00BB62F1" w:rsidRPr="008A4475">
        <w:rPr>
          <w:b/>
          <w:sz w:val="24"/>
          <w:szCs w:val="24"/>
          <w:lang w:val="en-GB"/>
        </w:rPr>
        <w:t>Structure and Purpose of Sector Transfers</w:t>
      </w:r>
    </w:p>
    <w:p w:rsidR="008A4475" w:rsidRPr="008A4475" w:rsidRDefault="008A4475" w:rsidP="008A4475">
      <w:pPr>
        <w:ind w:left="360"/>
        <w:rPr>
          <w:sz w:val="24"/>
          <w:szCs w:val="24"/>
          <w:lang w:val="en-GB"/>
        </w:rPr>
      </w:pPr>
      <w:r w:rsidRPr="008A4475">
        <w:rPr>
          <w:sz w:val="24"/>
          <w:szCs w:val="24"/>
          <w:lang w:val="en-GB"/>
        </w:rPr>
        <w:t>The purpose of the sector grants are:</w:t>
      </w:r>
    </w:p>
    <w:p w:rsidR="008A4475" w:rsidRPr="008A4475" w:rsidRDefault="008A4475" w:rsidP="008A4475">
      <w:pPr>
        <w:pStyle w:val="ListParagraph"/>
        <w:numPr>
          <w:ilvl w:val="0"/>
          <w:numId w:val="6"/>
        </w:numPr>
        <w:jc w:val="both"/>
        <w:rPr>
          <w:sz w:val="24"/>
          <w:szCs w:val="24"/>
          <w:lang w:val="en-GB"/>
        </w:rPr>
      </w:pPr>
      <w:r w:rsidRPr="008A4475">
        <w:rPr>
          <w:sz w:val="24"/>
          <w:szCs w:val="24"/>
          <w:lang w:val="en-GB"/>
        </w:rPr>
        <w:t>To pay salaries of education staff in pre-primary, primary, secondary and tertiary and vocational institutions</w:t>
      </w:r>
    </w:p>
    <w:p w:rsidR="008A4475" w:rsidRPr="008A4475" w:rsidRDefault="008A4475" w:rsidP="008A4475">
      <w:pPr>
        <w:pStyle w:val="ListParagraph"/>
        <w:numPr>
          <w:ilvl w:val="0"/>
          <w:numId w:val="6"/>
        </w:numPr>
        <w:jc w:val="both"/>
        <w:rPr>
          <w:sz w:val="24"/>
          <w:szCs w:val="24"/>
          <w:lang w:val="en-GB"/>
        </w:rPr>
      </w:pPr>
      <w:r w:rsidRPr="008A4475">
        <w:rPr>
          <w:sz w:val="24"/>
          <w:szCs w:val="24"/>
          <w:lang w:val="en-GB"/>
        </w:rPr>
        <w:t>To fund operation costs of running  pre-primary, primary, secondary and tertiary and vocational institutions</w:t>
      </w:r>
    </w:p>
    <w:p w:rsidR="008A4475" w:rsidRPr="008A4475" w:rsidRDefault="008A4475" w:rsidP="008A4475">
      <w:pPr>
        <w:pStyle w:val="ListParagraph"/>
        <w:numPr>
          <w:ilvl w:val="0"/>
          <w:numId w:val="6"/>
        </w:numPr>
        <w:jc w:val="both"/>
        <w:rPr>
          <w:sz w:val="24"/>
          <w:szCs w:val="24"/>
          <w:lang w:val="en-GB"/>
        </w:rPr>
      </w:pPr>
      <w:r w:rsidRPr="008A4475">
        <w:rPr>
          <w:sz w:val="24"/>
          <w:szCs w:val="24"/>
          <w:lang w:val="en-GB"/>
        </w:rPr>
        <w:t xml:space="preserve">To facilitate inspection, monitoring and support supervision of all institutions  </w:t>
      </w:r>
    </w:p>
    <w:p w:rsidR="008A4475" w:rsidRPr="008A4475" w:rsidRDefault="008A4475" w:rsidP="008A4475">
      <w:pPr>
        <w:pStyle w:val="ListParagraph"/>
        <w:numPr>
          <w:ilvl w:val="0"/>
          <w:numId w:val="6"/>
        </w:numPr>
        <w:jc w:val="both"/>
        <w:rPr>
          <w:sz w:val="24"/>
          <w:szCs w:val="24"/>
          <w:lang w:val="en-GB"/>
        </w:rPr>
      </w:pPr>
      <w:r w:rsidRPr="008A4475">
        <w:rPr>
          <w:sz w:val="24"/>
          <w:szCs w:val="24"/>
          <w:lang w:val="en-GB"/>
        </w:rPr>
        <w:t>To finance capital development works of pre-primary, primary and secondary schools</w:t>
      </w:r>
    </w:p>
    <w:p w:rsidR="008A4475" w:rsidRDefault="008A4475" w:rsidP="008A4475">
      <w:pPr>
        <w:ind w:left="360"/>
        <w:rPr>
          <w:sz w:val="24"/>
          <w:szCs w:val="24"/>
          <w:lang w:val="en-GB"/>
        </w:rPr>
      </w:pPr>
    </w:p>
    <w:p w:rsidR="00546615" w:rsidRDefault="00546615" w:rsidP="008A4475">
      <w:pPr>
        <w:ind w:left="360"/>
        <w:rPr>
          <w:sz w:val="24"/>
          <w:szCs w:val="24"/>
          <w:lang w:val="en-GB"/>
        </w:rPr>
      </w:pPr>
    </w:p>
    <w:p w:rsidR="00546615" w:rsidRPr="008A4475" w:rsidRDefault="00546615" w:rsidP="008A4475">
      <w:pPr>
        <w:ind w:left="360"/>
        <w:rPr>
          <w:sz w:val="24"/>
          <w:szCs w:val="24"/>
          <w:lang w:val="en-GB"/>
        </w:rPr>
      </w:pPr>
    </w:p>
    <w:p w:rsidR="008A4475" w:rsidRDefault="008A4475" w:rsidP="008A4475">
      <w:pPr>
        <w:ind w:left="360"/>
        <w:rPr>
          <w:b/>
          <w:sz w:val="24"/>
          <w:szCs w:val="24"/>
          <w:lang w:val="en-GB"/>
        </w:rPr>
      </w:pPr>
      <w:r w:rsidRPr="008A4475">
        <w:rPr>
          <w:b/>
          <w:sz w:val="24"/>
          <w:szCs w:val="24"/>
          <w:lang w:val="en-GB"/>
        </w:rPr>
        <w:t>The proposed structure and purpose of sector grants are as follows: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729"/>
      </w:tblGrid>
      <w:tr w:rsidR="008A4475" w:rsidRPr="00170066" w:rsidTr="00CA4CC8">
        <w:tc>
          <w:tcPr>
            <w:tcW w:w="1656" w:type="pct"/>
            <w:tcBorders>
              <w:top w:val="single" w:sz="4" w:space="0" w:color="auto"/>
              <w:left w:val="single" w:sz="4" w:space="0" w:color="auto"/>
              <w:bottom w:val="single" w:sz="4" w:space="0" w:color="auto"/>
              <w:right w:val="single" w:sz="4" w:space="0" w:color="auto"/>
            </w:tcBorders>
            <w:shd w:val="clear" w:color="auto" w:fill="E7E6E6"/>
            <w:hideMark/>
          </w:tcPr>
          <w:p w:rsidR="008A4475" w:rsidRPr="00170066" w:rsidRDefault="008A4475" w:rsidP="00CA4CC8">
            <w:pPr>
              <w:tabs>
                <w:tab w:val="left" w:pos="438"/>
              </w:tabs>
              <w:spacing w:after="0" w:line="240" w:lineRule="auto"/>
              <w:rPr>
                <w:lang w:val="en-GB"/>
              </w:rPr>
            </w:pPr>
            <w:r w:rsidRPr="00170066">
              <w:rPr>
                <w:lang w:val="en-GB"/>
              </w:rPr>
              <w:t>Grant</w:t>
            </w:r>
          </w:p>
        </w:tc>
        <w:tc>
          <w:tcPr>
            <w:tcW w:w="3344" w:type="pct"/>
            <w:tcBorders>
              <w:top w:val="single" w:sz="4" w:space="0" w:color="auto"/>
              <w:left w:val="single" w:sz="4" w:space="0" w:color="auto"/>
              <w:bottom w:val="single" w:sz="4" w:space="0" w:color="auto"/>
              <w:right w:val="single" w:sz="4" w:space="0" w:color="auto"/>
            </w:tcBorders>
            <w:shd w:val="clear" w:color="auto" w:fill="E7E6E6"/>
            <w:hideMark/>
          </w:tcPr>
          <w:p w:rsidR="008A4475" w:rsidRPr="00170066" w:rsidRDefault="008A4475" w:rsidP="00CA4CC8">
            <w:pPr>
              <w:tabs>
                <w:tab w:val="left" w:pos="438"/>
              </w:tabs>
              <w:spacing w:after="0" w:line="240" w:lineRule="auto"/>
              <w:jc w:val="right"/>
              <w:rPr>
                <w:lang w:val="en-GB"/>
              </w:rPr>
            </w:pPr>
            <w:r w:rsidRPr="00170066">
              <w:rPr>
                <w:lang w:val="en-GB"/>
              </w:rPr>
              <w:t>Purpose</w:t>
            </w: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rPr>
                <w:b/>
                <w:lang w:val="en-GB"/>
              </w:rPr>
            </w:pPr>
            <w:r w:rsidRPr="00170066">
              <w:rPr>
                <w:b/>
                <w:lang w:val="en-GB"/>
              </w:rPr>
              <w:t>Wage Conditional Grant</w:t>
            </w:r>
          </w:p>
        </w:tc>
        <w:tc>
          <w:tcPr>
            <w:tcW w:w="3344" w:type="pct"/>
            <w:vMerge w:val="restart"/>
            <w:tcBorders>
              <w:top w:val="single" w:sz="4" w:space="0" w:color="auto"/>
              <w:left w:val="single" w:sz="4" w:space="0" w:color="auto"/>
              <w:right w:val="single" w:sz="4" w:space="0" w:color="auto"/>
            </w:tcBorders>
          </w:tcPr>
          <w:p w:rsidR="008A4475" w:rsidRPr="00170066" w:rsidRDefault="008A4475" w:rsidP="00CA4CC8">
            <w:pPr>
              <w:tabs>
                <w:tab w:val="left" w:pos="438"/>
              </w:tabs>
              <w:spacing w:after="0" w:line="240" w:lineRule="auto"/>
              <w:rPr>
                <w:b/>
                <w:lang w:val="en-GB"/>
              </w:rPr>
            </w:pPr>
            <w:r w:rsidRPr="00170066">
              <w:rPr>
                <w:lang w:val="en-GB"/>
              </w:rPr>
              <w:t>To pay salaries of education staff in pre-primary, primary, secondary and BTVET institutions</w:t>
            </w: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ind w:left="426" w:hanging="426"/>
              <w:rPr>
                <w:lang w:val="en-GB"/>
              </w:rPr>
            </w:pPr>
            <w:r w:rsidRPr="00170066">
              <w:rPr>
                <w:lang w:val="en-GB"/>
              </w:rPr>
              <w:t>o/w Pre Primary and Primary</w:t>
            </w:r>
          </w:p>
        </w:tc>
        <w:tc>
          <w:tcPr>
            <w:tcW w:w="3344" w:type="pct"/>
            <w:vMerge/>
            <w:tcBorders>
              <w:left w:val="single" w:sz="4" w:space="0" w:color="auto"/>
              <w:right w:val="single" w:sz="4" w:space="0" w:color="auto"/>
            </w:tcBorders>
            <w:vAlign w:val="center"/>
          </w:tcPr>
          <w:p w:rsidR="008A4475" w:rsidRPr="00170066" w:rsidRDefault="008A4475" w:rsidP="00CA4CC8">
            <w:pPr>
              <w:spacing w:after="0" w:line="240" w:lineRule="auto"/>
              <w:rPr>
                <w:b/>
                <w:lang w:val="en-GB"/>
              </w:rPr>
            </w:pP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ind w:left="426" w:hanging="426"/>
              <w:rPr>
                <w:lang w:val="en-GB"/>
              </w:rPr>
            </w:pPr>
            <w:r w:rsidRPr="00170066">
              <w:rPr>
                <w:lang w:val="en-GB"/>
              </w:rPr>
              <w:t>o/w Secondary Education</w:t>
            </w:r>
          </w:p>
        </w:tc>
        <w:tc>
          <w:tcPr>
            <w:tcW w:w="3344" w:type="pct"/>
            <w:vMerge/>
            <w:tcBorders>
              <w:left w:val="single" w:sz="4" w:space="0" w:color="auto"/>
              <w:right w:val="single" w:sz="4" w:space="0" w:color="auto"/>
            </w:tcBorders>
            <w:vAlign w:val="center"/>
          </w:tcPr>
          <w:p w:rsidR="008A4475" w:rsidRPr="00170066" w:rsidRDefault="008A4475" w:rsidP="00CA4CC8">
            <w:pPr>
              <w:spacing w:after="0" w:line="240" w:lineRule="auto"/>
              <w:rPr>
                <w:lang w:val="en-GB"/>
              </w:rPr>
            </w:pP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ind w:left="426" w:hanging="426"/>
              <w:rPr>
                <w:lang w:val="en-GB"/>
              </w:rPr>
            </w:pPr>
            <w:r w:rsidRPr="00170066">
              <w:rPr>
                <w:lang w:val="en-GB"/>
              </w:rPr>
              <w:t>o/w Skills Development</w:t>
            </w:r>
          </w:p>
        </w:tc>
        <w:tc>
          <w:tcPr>
            <w:tcW w:w="3344" w:type="pct"/>
            <w:vMerge/>
            <w:tcBorders>
              <w:left w:val="single" w:sz="4" w:space="0" w:color="auto"/>
              <w:bottom w:val="single" w:sz="4" w:space="0" w:color="auto"/>
              <w:right w:val="single" w:sz="4" w:space="0" w:color="auto"/>
            </w:tcBorders>
            <w:vAlign w:val="center"/>
          </w:tcPr>
          <w:p w:rsidR="008A4475" w:rsidRPr="00170066" w:rsidRDefault="008A4475" w:rsidP="00CA4CC8">
            <w:pPr>
              <w:spacing w:after="0" w:line="240" w:lineRule="auto"/>
              <w:rPr>
                <w:b/>
                <w:lang w:val="en-GB"/>
              </w:rPr>
            </w:pP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ind w:left="426" w:hanging="426"/>
              <w:rPr>
                <w:lang w:val="en-GB"/>
              </w:rPr>
            </w:pPr>
            <w:r w:rsidRPr="00170066">
              <w:rPr>
                <w:b/>
                <w:lang w:val="en-GB"/>
              </w:rPr>
              <w:t>Non-Wage Conditional Grant</w:t>
            </w:r>
          </w:p>
        </w:tc>
        <w:tc>
          <w:tcPr>
            <w:tcW w:w="3344" w:type="pct"/>
            <w:vMerge w:val="restart"/>
            <w:tcBorders>
              <w:top w:val="single" w:sz="4" w:space="0" w:color="auto"/>
              <w:left w:val="single" w:sz="4" w:space="0" w:color="auto"/>
              <w:right w:val="single" w:sz="4" w:space="0" w:color="auto"/>
            </w:tcBorders>
            <w:vAlign w:val="center"/>
          </w:tcPr>
          <w:p w:rsidR="008A4475" w:rsidRPr="00170066" w:rsidRDefault="008A4475" w:rsidP="00CA4CC8">
            <w:pPr>
              <w:spacing w:after="0" w:line="240" w:lineRule="auto"/>
              <w:rPr>
                <w:lang w:val="en-GB"/>
              </w:rPr>
            </w:pPr>
            <w:r w:rsidRPr="00170066">
              <w:rPr>
                <w:lang w:val="en-GB"/>
              </w:rPr>
              <w:t>To fund operation costs of running  pre-primary, primary, secondary and BTVET institutions and the management and oversight of those institutions</w:t>
            </w: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rPr>
                <w:lang w:val="en-GB"/>
              </w:rPr>
            </w:pPr>
            <w:r w:rsidRPr="00170066">
              <w:rPr>
                <w:lang w:val="en-GB"/>
              </w:rPr>
              <w:t>o/w Pre Primary and Primary and education management</w:t>
            </w:r>
          </w:p>
        </w:tc>
        <w:tc>
          <w:tcPr>
            <w:tcW w:w="3344" w:type="pct"/>
            <w:vMerge/>
            <w:tcBorders>
              <w:left w:val="single" w:sz="4" w:space="0" w:color="auto"/>
              <w:right w:val="single" w:sz="4" w:space="0" w:color="auto"/>
            </w:tcBorders>
          </w:tcPr>
          <w:p w:rsidR="008A4475" w:rsidRPr="00170066" w:rsidRDefault="008A4475" w:rsidP="00CA4CC8">
            <w:pPr>
              <w:spacing w:after="0" w:line="240" w:lineRule="auto"/>
              <w:jc w:val="both"/>
              <w:rPr>
                <w:rFonts w:eastAsia="Times New Roman"/>
                <w:color w:val="000000"/>
                <w:lang w:val="en-GB"/>
              </w:rPr>
            </w:pP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rPr>
                <w:b/>
                <w:lang w:val="en-GB"/>
              </w:rPr>
            </w:pPr>
            <w:r w:rsidRPr="00170066">
              <w:rPr>
                <w:lang w:val="en-GB"/>
              </w:rPr>
              <w:t>o/w Secondary Education</w:t>
            </w:r>
          </w:p>
        </w:tc>
        <w:tc>
          <w:tcPr>
            <w:tcW w:w="3344" w:type="pct"/>
            <w:vMerge/>
            <w:tcBorders>
              <w:left w:val="single" w:sz="4" w:space="0" w:color="auto"/>
              <w:right w:val="single" w:sz="4" w:space="0" w:color="auto"/>
            </w:tcBorders>
          </w:tcPr>
          <w:p w:rsidR="008A4475" w:rsidRPr="00170066" w:rsidRDefault="008A4475" w:rsidP="00CA4CC8">
            <w:pPr>
              <w:spacing w:after="0" w:line="240" w:lineRule="auto"/>
              <w:jc w:val="both"/>
              <w:rPr>
                <w:rFonts w:eastAsia="Times New Roman"/>
                <w:b/>
                <w:color w:val="000000"/>
                <w:lang w:val="en-GB"/>
              </w:rPr>
            </w:pP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ind w:left="426" w:hanging="426"/>
              <w:rPr>
                <w:lang w:val="en-GB"/>
              </w:rPr>
            </w:pPr>
            <w:r w:rsidRPr="00170066">
              <w:rPr>
                <w:lang w:val="en-GB"/>
              </w:rPr>
              <w:t>o/w Skills Development</w:t>
            </w:r>
          </w:p>
        </w:tc>
        <w:tc>
          <w:tcPr>
            <w:tcW w:w="3344" w:type="pct"/>
            <w:vMerge/>
            <w:tcBorders>
              <w:left w:val="single" w:sz="4" w:space="0" w:color="auto"/>
              <w:bottom w:val="single" w:sz="4" w:space="0" w:color="auto"/>
              <w:right w:val="single" w:sz="4" w:space="0" w:color="auto"/>
            </w:tcBorders>
            <w:vAlign w:val="center"/>
          </w:tcPr>
          <w:p w:rsidR="008A4475" w:rsidRPr="00170066" w:rsidRDefault="008A4475" w:rsidP="00CA4CC8">
            <w:pPr>
              <w:spacing w:after="0" w:line="240" w:lineRule="auto"/>
              <w:rPr>
                <w:b/>
                <w:lang w:val="en-GB"/>
              </w:rPr>
            </w:pP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ind w:left="426" w:hanging="426"/>
              <w:rPr>
                <w:b/>
                <w:lang w:val="en-GB"/>
              </w:rPr>
            </w:pPr>
            <w:r w:rsidRPr="00170066">
              <w:rPr>
                <w:b/>
                <w:lang w:val="en-GB"/>
              </w:rPr>
              <w:t>Development</w:t>
            </w:r>
          </w:p>
        </w:tc>
        <w:tc>
          <w:tcPr>
            <w:tcW w:w="3344" w:type="pct"/>
            <w:tcBorders>
              <w:top w:val="single" w:sz="4" w:space="0" w:color="auto"/>
              <w:left w:val="single" w:sz="4" w:space="0" w:color="auto"/>
              <w:bottom w:val="single" w:sz="4" w:space="0" w:color="auto"/>
              <w:right w:val="single" w:sz="4" w:space="0" w:color="auto"/>
            </w:tcBorders>
            <w:vAlign w:val="center"/>
          </w:tcPr>
          <w:p w:rsidR="008A4475" w:rsidRPr="00383F50" w:rsidRDefault="008A4475" w:rsidP="00CA4CC8">
            <w:pPr>
              <w:spacing w:after="0" w:line="240" w:lineRule="auto"/>
              <w:rPr>
                <w:rFonts w:eastAsia="Times New Roman"/>
                <w:color w:val="000000"/>
                <w:lang w:val="en-GB"/>
              </w:rPr>
            </w:pPr>
            <w:r w:rsidRPr="00170066">
              <w:rPr>
                <w:rFonts w:eastAsia="Times New Roman"/>
                <w:color w:val="000000"/>
                <w:lang w:val="en-GB"/>
              </w:rPr>
              <w:t>To finance capital de</w:t>
            </w:r>
            <w:r>
              <w:rPr>
                <w:rFonts w:eastAsia="Times New Roman"/>
                <w:color w:val="000000"/>
                <w:lang w:val="en-GB"/>
              </w:rPr>
              <w:t xml:space="preserve">velopment works of pre-primary and </w:t>
            </w:r>
            <w:r w:rsidRPr="00170066">
              <w:rPr>
                <w:rFonts w:eastAsia="Times New Roman"/>
                <w:color w:val="000000"/>
                <w:lang w:val="en-GB"/>
              </w:rPr>
              <w:t>primary schools</w:t>
            </w:r>
          </w:p>
        </w:tc>
      </w:tr>
      <w:tr w:rsidR="008A4475" w:rsidRPr="00170066" w:rsidTr="00CA4CC8">
        <w:tc>
          <w:tcPr>
            <w:tcW w:w="1656" w:type="pct"/>
            <w:tcBorders>
              <w:top w:val="single" w:sz="4" w:space="0" w:color="auto"/>
              <w:left w:val="single" w:sz="4" w:space="0" w:color="auto"/>
              <w:bottom w:val="single" w:sz="4" w:space="0" w:color="auto"/>
              <w:right w:val="single" w:sz="4" w:space="0" w:color="auto"/>
            </w:tcBorders>
          </w:tcPr>
          <w:p w:rsidR="008A4475" w:rsidRPr="00170066" w:rsidRDefault="008A4475" w:rsidP="00CA4CC8">
            <w:pPr>
              <w:tabs>
                <w:tab w:val="left" w:pos="438"/>
              </w:tabs>
              <w:spacing w:after="0" w:line="240" w:lineRule="auto"/>
              <w:ind w:left="426" w:hanging="426"/>
              <w:rPr>
                <w:b/>
                <w:lang w:val="en-GB"/>
              </w:rPr>
            </w:pPr>
            <w:r>
              <w:rPr>
                <w:b/>
                <w:lang w:val="en-GB"/>
              </w:rPr>
              <w:t>Transitional Development – Presidential Pledges</w:t>
            </w:r>
          </w:p>
        </w:tc>
        <w:tc>
          <w:tcPr>
            <w:tcW w:w="3344" w:type="pct"/>
            <w:tcBorders>
              <w:top w:val="single" w:sz="4" w:space="0" w:color="auto"/>
              <w:left w:val="single" w:sz="4" w:space="0" w:color="auto"/>
              <w:bottom w:val="single" w:sz="4" w:space="0" w:color="auto"/>
              <w:right w:val="single" w:sz="4" w:space="0" w:color="auto"/>
            </w:tcBorders>
            <w:vAlign w:val="center"/>
          </w:tcPr>
          <w:p w:rsidR="008A4475" w:rsidRPr="00170066" w:rsidRDefault="008A4475" w:rsidP="00CA4CC8">
            <w:pPr>
              <w:spacing w:after="0" w:line="240" w:lineRule="auto"/>
              <w:rPr>
                <w:lang w:val="en-GB"/>
              </w:rPr>
            </w:pPr>
            <w:r w:rsidRPr="00170066">
              <w:rPr>
                <w:lang w:val="en-GB"/>
              </w:rPr>
              <w:t xml:space="preserve">To fund ad hoc investments, including presidential pledges </w:t>
            </w:r>
            <w:r>
              <w:rPr>
                <w:lang w:val="en-GB"/>
              </w:rPr>
              <w:t>and Secondary Schools</w:t>
            </w:r>
          </w:p>
        </w:tc>
      </w:tr>
    </w:tbl>
    <w:p w:rsidR="008A4475" w:rsidRPr="008A4475" w:rsidRDefault="008A4475" w:rsidP="008A4475">
      <w:pPr>
        <w:ind w:left="360"/>
        <w:rPr>
          <w:b/>
          <w:sz w:val="24"/>
          <w:szCs w:val="24"/>
          <w:lang w:val="en-GB"/>
        </w:rPr>
      </w:pPr>
    </w:p>
    <w:p w:rsidR="004B3D87" w:rsidRDefault="008A4475" w:rsidP="008A4475">
      <w:pPr>
        <w:ind w:left="360"/>
        <w:rPr>
          <w:b/>
          <w:sz w:val="24"/>
          <w:szCs w:val="24"/>
          <w:lang w:val="en-GB"/>
        </w:rPr>
      </w:pPr>
      <w:r w:rsidRPr="008A4475">
        <w:rPr>
          <w:b/>
          <w:sz w:val="24"/>
          <w:szCs w:val="24"/>
          <w:lang w:val="en-GB"/>
        </w:rPr>
        <w:t xml:space="preserve">2.3. </w:t>
      </w:r>
      <w:r w:rsidR="00BB62F1" w:rsidRPr="008A4475">
        <w:rPr>
          <w:b/>
          <w:sz w:val="24"/>
          <w:szCs w:val="24"/>
          <w:lang w:val="en-GB"/>
        </w:rPr>
        <w:t>Allocation Formulae</w:t>
      </w:r>
      <w:r>
        <w:rPr>
          <w:b/>
          <w:sz w:val="24"/>
          <w:szCs w:val="24"/>
          <w:lang w:val="en-GB"/>
        </w:rPr>
        <w:t>:</w:t>
      </w:r>
    </w:p>
    <w:p w:rsidR="008A4475" w:rsidRPr="008A4475" w:rsidRDefault="008A4475" w:rsidP="008A4475">
      <w:pPr>
        <w:ind w:left="360"/>
        <w:rPr>
          <w:sz w:val="24"/>
          <w:szCs w:val="24"/>
          <w:lang w:val="en-GB"/>
        </w:rPr>
      </w:pPr>
      <w:r>
        <w:rPr>
          <w:sz w:val="24"/>
          <w:szCs w:val="24"/>
          <w:lang w:val="en-GB"/>
        </w:rPr>
        <w:t>The allocation formula is as detailed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91"/>
        <w:gridCol w:w="841"/>
        <w:gridCol w:w="548"/>
        <w:gridCol w:w="693"/>
        <w:gridCol w:w="728"/>
        <w:gridCol w:w="795"/>
        <w:gridCol w:w="2921"/>
      </w:tblGrid>
      <w:tr w:rsidR="008A4475" w:rsidRPr="00412B51" w:rsidTr="00CA4CC8">
        <w:trPr>
          <w:tblHeader/>
        </w:trPr>
        <w:tc>
          <w:tcPr>
            <w:tcW w:w="1232" w:type="pct"/>
            <w:vMerge w:val="restart"/>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Variable</w:t>
            </w:r>
          </w:p>
        </w:tc>
        <w:tc>
          <w:tcPr>
            <w:tcW w:w="2242" w:type="pct"/>
            <w:gridSpan w:val="6"/>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Weighting</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Justification</w:t>
            </w:r>
          </w:p>
        </w:tc>
      </w:tr>
      <w:tr w:rsidR="008A4475" w:rsidRPr="00412B51" w:rsidTr="00CA4CC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475" w:rsidRPr="00412B51" w:rsidRDefault="008A4475" w:rsidP="00CA4CC8">
            <w:pPr>
              <w:spacing w:after="0" w:line="240" w:lineRule="auto"/>
              <w:rPr>
                <w:b/>
              </w:rPr>
            </w:pPr>
          </w:p>
        </w:tc>
        <w:tc>
          <w:tcPr>
            <w:tcW w:w="800" w:type="pct"/>
            <w:gridSpan w:val="2"/>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 xml:space="preserve">Pre Primary, Primary &amp; Management </w:t>
            </w:r>
          </w:p>
        </w:tc>
        <w:tc>
          <w:tcPr>
            <w:tcW w:w="648" w:type="pct"/>
            <w:gridSpan w:val="2"/>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Secondary</w:t>
            </w:r>
          </w:p>
        </w:tc>
        <w:tc>
          <w:tcPr>
            <w:tcW w:w="380" w:type="pct"/>
            <w:tcBorders>
              <w:top w:val="single" w:sz="4" w:space="0" w:color="auto"/>
              <w:left w:val="single" w:sz="4" w:space="0" w:color="auto"/>
              <w:right w:val="single" w:sz="4" w:space="0" w:color="auto"/>
            </w:tcBorders>
            <w:shd w:val="clear" w:color="auto" w:fill="E7E6E6"/>
          </w:tcPr>
          <w:p w:rsidR="008A4475" w:rsidRPr="00412B51" w:rsidRDefault="008A4475" w:rsidP="00CA4CC8">
            <w:pPr>
              <w:tabs>
                <w:tab w:val="left" w:pos="438"/>
              </w:tabs>
              <w:spacing w:after="0" w:line="240" w:lineRule="auto"/>
              <w:rPr>
                <w:b/>
              </w:rPr>
            </w:pPr>
            <w:r w:rsidRPr="00412B51">
              <w:rPr>
                <w:b/>
              </w:rPr>
              <w:t>Skills Dev</w:t>
            </w:r>
          </w:p>
          <w:p w:rsidR="008A4475" w:rsidRPr="00412B51" w:rsidRDefault="008A4475" w:rsidP="00CA4CC8">
            <w:pPr>
              <w:tabs>
                <w:tab w:val="left" w:pos="438"/>
              </w:tabs>
              <w:spacing w:after="0" w:line="240" w:lineRule="auto"/>
              <w:rPr>
                <w:b/>
              </w:rPr>
            </w:pPr>
          </w:p>
        </w:tc>
        <w:tc>
          <w:tcPr>
            <w:tcW w:w="415" w:type="pct"/>
            <w:vMerge w:val="restart"/>
            <w:tcBorders>
              <w:top w:val="single" w:sz="4" w:space="0" w:color="auto"/>
              <w:left w:val="single" w:sz="4" w:space="0" w:color="auto"/>
              <w:right w:val="single" w:sz="4" w:space="0" w:color="auto"/>
            </w:tcBorders>
            <w:shd w:val="clear" w:color="auto" w:fill="E7E6E6"/>
          </w:tcPr>
          <w:p w:rsidR="008A4475" w:rsidRPr="00412B51" w:rsidRDefault="008A4475" w:rsidP="00CA4CC8">
            <w:pPr>
              <w:tabs>
                <w:tab w:val="left" w:pos="438"/>
              </w:tabs>
              <w:spacing w:after="0" w:line="240" w:lineRule="auto"/>
              <w:rPr>
                <w:b/>
              </w:rPr>
            </w:pPr>
            <w:r w:rsidRPr="00412B51">
              <w:rPr>
                <w:b/>
              </w:rPr>
              <w:t>Educ Dev’t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475" w:rsidRPr="00412B51" w:rsidRDefault="008A4475" w:rsidP="00CA4CC8">
            <w:pPr>
              <w:spacing w:after="0" w:line="240" w:lineRule="auto"/>
              <w:rPr>
                <w:b/>
              </w:rPr>
            </w:pPr>
          </w:p>
        </w:tc>
      </w:tr>
      <w:tr w:rsidR="008A4475" w:rsidRPr="00412B51" w:rsidTr="00CA4CC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475" w:rsidRPr="00412B51" w:rsidRDefault="008A4475" w:rsidP="00CA4CC8">
            <w:pPr>
              <w:spacing w:after="0" w:line="240" w:lineRule="auto"/>
              <w:rPr>
                <w:b/>
              </w:rPr>
            </w:pPr>
          </w:p>
        </w:tc>
        <w:tc>
          <w:tcPr>
            <w:tcW w:w="361" w:type="pct"/>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W</w:t>
            </w:r>
          </w:p>
        </w:tc>
        <w:tc>
          <w:tcPr>
            <w:tcW w:w="439" w:type="pct"/>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NW</w:t>
            </w:r>
          </w:p>
        </w:tc>
        <w:tc>
          <w:tcPr>
            <w:tcW w:w="286" w:type="pct"/>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W</w:t>
            </w:r>
          </w:p>
        </w:tc>
        <w:tc>
          <w:tcPr>
            <w:tcW w:w="362" w:type="pct"/>
            <w:tcBorders>
              <w:top w:val="single" w:sz="4" w:space="0" w:color="auto"/>
              <w:left w:val="single" w:sz="4" w:space="0" w:color="auto"/>
              <w:bottom w:val="single" w:sz="4" w:space="0" w:color="auto"/>
              <w:right w:val="single" w:sz="4" w:space="0" w:color="auto"/>
            </w:tcBorders>
            <w:shd w:val="clear" w:color="auto" w:fill="E7E6E6"/>
            <w:hideMark/>
          </w:tcPr>
          <w:p w:rsidR="008A4475" w:rsidRPr="00412B51" w:rsidRDefault="008A4475" w:rsidP="00CA4CC8">
            <w:pPr>
              <w:tabs>
                <w:tab w:val="left" w:pos="438"/>
              </w:tabs>
              <w:spacing w:after="0" w:line="240" w:lineRule="auto"/>
              <w:rPr>
                <w:b/>
              </w:rPr>
            </w:pPr>
            <w:r w:rsidRPr="00412B51">
              <w:rPr>
                <w:b/>
              </w:rPr>
              <w:t>NW</w:t>
            </w:r>
          </w:p>
        </w:tc>
        <w:tc>
          <w:tcPr>
            <w:tcW w:w="380" w:type="pct"/>
            <w:tcBorders>
              <w:left w:val="single" w:sz="4" w:space="0" w:color="auto"/>
              <w:bottom w:val="single" w:sz="4" w:space="0" w:color="auto"/>
              <w:right w:val="single" w:sz="4" w:space="0" w:color="auto"/>
            </w:tcBorders>
            <w:shd w:val="clear" w:color="auto" w:fill="E7E6E6"/>
            <w:vAlign w:val="center"/>
            <w:hideMark/>
          </w:tcPr>
          <w:p w:rsidR="008A4475" w:rsidRPr="00412B51" w:rsidRDefault="008A4475" w:rsidP="00CA4CC8">
            <w:pPr>
              <w:spacing w:after="0" w:line="240" w:lineRule="auto"/>
              <w:rPr>
                <w:b/>
              </w:rPr>
            </w:pPr>
            <w:r w:rsidRPr="00412B51">
              <w:rPr>
                <w:b/>
              </w:rPr>
              <w:t>W &amp; NW</w:t>
            </w:r>
          </w:p>
        </w:tc>
        <w:tc>
          <w:tcPr>
            <w:tcW w:w="415" w:type="pct"/>
            <w:vMerge/>
            <w:tcBorders>
              <w:left w:val="single" w:sz="4" w:space="0" w:color="auto"/>
              <w:bottom w:val="single" w:sz="4" w:space="0" w:color="auto"/>
              <w:right w:val="single" w:sz="4" w:space="0" w:color="auto"/>
            </w:tcBorders>
            <w:shd w:val="clear" w:color="auto" w:fill="E7E6E6"/>
            <w:vAlign w:val="center"/>
          </w:tcPr>
          <w:p w:rsidR="008A4475" w:rsidRPr="00412B51" w:rsidRDefault="008A4475" w:rsidP="00CA4CC8">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475" w:rsidRPr="00412B51" w:rsidRDefault="008A4475" w:rsidP="00CA4CC8">
            <w:pPr>
              <w:spacing w:after="0" w:line="240" w:lineRule="auto"/>
              <w:rPr>
                <w:b/>
              </w:rPr>
            </w:pPr>
          </w:p>
        </w:tc>
      </w:tr>
      <w:tr w:rsidR="008A4475" w:rsidRPr="00412B51" w:rsidTr="00CA4CC8">
        <w:tc>
          <w:tcPr>
            <w:tcW w:w="1232"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Population of school going age (Primary &amp; Pre Primary / Secondary)</w:t>
            </w:r>
          </w:p>
        </w:tc>
        <w:tc>
          <w:tcPr>
            <w:tcW w:w="361"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t>10</w:t>
            </w:r>
          </w:p>
        </w:tc>
        <w:tc>
          <w:tcPr>
            <w:tcW w:w="439"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15</w:t>
            </w:r>
          </w:p>
        </w:tc>
        <w:tc>
          <w:tcPr>
            <w:tcW w:w="286"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t>10</w:t>
            </w:r>
          </w:p>
        </w:tc>
        <w:tc>
          <w:tcPr>
            <w:tcW w:w="362"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15</w:t>
            </w:r>
          </w:p>
        </w:tc>
        <w:tc>
          <w:tcPr>
            <w:tcW w:w="380"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0</w:t>
            </w:r>
          </w:p>
        </w:tc>
        <w:tc>
          <w:tcPr>
            <w:tcW w:w="415"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t>64</w:t>
            </w:r>
          </w:p>
        </w:tc>
        <w:tc>
          <w:tcPr>
            <w:tcW w:w="1525"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Proxy for the number of potential children who should be in school.</w:t>
            </w:r>
          </w:p>
        </w:tc>
      </w:tr>
      <w:tr w:rsidR="008A4475" w:rsidRPr="00412B51" w:rsidTr="00CA4CC8">
        <w:tc>
          <w:tcPr>
            <w:tcW w:w="123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Number of learners in primary / Secondary school.</w:t>
            </w:r>
          </w:p>
        </w:tc>
        <w:tc>
          <w:tcPr>
            <w:tcW w:w="361"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t>81</w:t>
            </w:r>
          </w:p>
        </w:tc>
        <w:tc>
          <w:tcPr>
            <w:tcW w:w="439"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75</w:t>
            </w:r>
          </w:p>
        </w:tc>
        <w:tc>
          <w:tcPr>
            <w:tcW w:w="286"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t>81</w:t>
            </w:r>
          </w:p>
        </w:tc>
        <w:tc>
          <w:tcPr>
            <w:tcW w:w="36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75</w:t>
            </w:r>
          </w:p>
        </w:tc>
        <w:tc>
          <w:tcPr>
            <w:tcW w:w="380"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415"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1525"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The actual number of children in school, a key driver for operational costs</w:t>
            </w:r>
          </w:p>
        </w:tc>
      </w:tr>
      <w:tr w:rsidR="008A4475" w:rsidRPr="00412B51" w:rsidTr="00CA4CC8">
        <w:trPr>
          <w:trHeight w:val="547"/>
        </w:trPr>
        <w:tc>
          <w:tcPr>
            <w:tcW w:w="1232" w:type="pc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 xml:space="preserve">% Scoring Grade1 in UCE </w:t>
            </w:r>
          </w:p>
        </w:tc>
        <w:tc>
          <w:tcPr>
            <w:tcW w:w="361" w:type="pc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0</w:t>
            </w:r>
          </w:p>
        </w:tc>
        <w:tc>
          <w:tcPr>
            <w:tcW w:w="439" w:type="pc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0</w:t>
            </w:r>
          </w:p>
        </w:tc>
        <w:tc>
          <w:tcPr>
            <w:tcW w:w="286" w:type="pc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t>6</w:t>
            </w:r>
          </w:p>
        </w:tc>
        <w:tc>
          <w:tcPr>
            <w:tcW w:w="362" w:type="pc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6</w:t>
            </w:r>
          </w:p>
        </w:tc>
        <w:tc>
          <w:tcPr>
            <w:tcW w:w="380" w:type="pc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0</w:t>
            </w:r>
          </w:p>
        </w:tc>
        <w:tc>
          <w:tcPr>
            <w:tcW w:w="415" w:type="pc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t>6</w:t>
            </w:r>
          </w:p>
        </w:tc>
        <w:tc>
          <w:tcPr>
            <w:tcW w:w="1525" w:type="pct"/>
            <w:vMerge w:val="restart"/>
            <w:tcBorders>
              <w:top w:val="single" w:sz="4" w:space="0" w:color="auto"/>
              <w:left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Those local governments with lower proficiency in English and Maths will receive additional resources, which will help equalise key education performance outcomes</w:t>
            </w:r>
          </w:p>
        </w:tc>
      </w:tr>
      <w:tr w:rsidR="008A4475" w:rsidRPr="00412B51" w:rsidTr="00CA4CC8">
        <w:tc>
          <w:tcPr>
            <w:tcW w:w="123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Percentage of children passing PLE grade 1 to 3</w:t>
            </w:r>
          </w:p>
        </w:tc>
        <w:tc>
          <w:tcPr>
            <w:tcW w:w="361"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t>6</w:t>
            </w:r>
          </w:p>
        </w:tc>
        <w:tc>
          <w:tcPr>
            <w:tcW w:w="439"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6</w:t>
            </w:r>
          </w:p>
        </w:tc>
        <w:tc>
          <w:tcPr>
            <w:tcW w:w="286"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36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380"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415"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t>6</w:t>
            </w:r>
          </w:p>
        </w:tc>
        <w:tc>
          <w:tcPr>
            <w:tcW w:w="1525" w:type="pct"/>
            <w:vMerge/>
            <w:tcBorders>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p>
        </w:tc>
      </w:tr>
      <w:tr w:rsidR="008A4475" w:rsidRPr="00412B51" w:rsidTr="00CA4CC8">
        <w:tc>
          <w:tcPr>
            <w:tcW w:w="1232"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Population in Hard to Reach, Hard to Stay Areas</w:t>
            </w:r>
          </w:p>
        </w:tc>
        <w:tc>
          <w:tcPr>
            <w:tcW w:w="361"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2</w:t>
            </w:r>
          </w:p>
        </w:tc>
        <w:tc>
          <w:tcPr>
            <w:tcW w:w="439"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2</w:t>
            </w:r>
          </w:p>
        </w:tc>
        <w:tc>
          <w:tcPr>
            <w:tcW w:w="286"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2</w:t>
            </w:r>
          </w:p>
        </w:tc>
        <w:tc>
          <w:tcPr>
            <w:tcW w:w="362"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2</w:t>
            </w:r>
          </w:p>
        </w:tc>
        <w:tc>
          <w:tcPr>
            <w:tcW w:w="380"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0</w:t>
            </w:r>
          </w:p>
        </w:tc>
        <w:tc>
          <w:tcPr>
            <w:tcW w:w="415"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t>2</w:t>
            </w:r>
          </w:p>
        </w:tc>
        <w:tc>
          <w:tcPr>
            <w:tcW w:w="1525"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 xml:space="preserve">Mountainous, islands, rivers etc have peculiar terrain. Provides greater allocations to areas where costs are likely </w:t>
            </w:r>
            <w:r w:rsidRPr="00412B51">
              <w:lastRenderedPageBreak/>
              <w:t>to be higher</w:t>
            </w:r>
          </w:p>
        </w:tc>
      </w:tr>
      <w:tr w:rsidR="008A4475" w:rsidRPr="00412B51" w:rsidTr="00CA4CC8">
        <w:tc>
          <w:tcPr>
            <w:tcW w:w="1232"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lastRenderedPageBreak/>
              <w:t>Land area</w:t>
            </w:r>
          </w:p>
        </w:tc>
        <w:tc>
          <w:tcPr>
            <w:tcW w:w="361"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t>1</w:t>
            </w:r>
          </w:p>
        </w:tc>
        <w:tc>
          <w:tcPr>
            <w:tcW w:w="439"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2</w:t>
            </w:r>
          </w:p>
        </w:tc>
        <w:tc>
          <w:tcPr>
            <w:tcW w:w="286"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t>1</w:t>
            </w:r>
          </w:p>
        </w:tc>
        <w:tc>
          <w:tcPr>
            <w:tcW w:w="362"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2</w:t>
            </w:r>
          </w:p>
        </w:tc>
        <w:tc>
          <w:tcPr>
            <w:tcW w:w="380"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0</w:t>
            </w:r>
          </w:p>
        </w:tc>
        <w:tc>
          <w:tcPr>
            <w:tcW w:w="415"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t>2</w:t>
            </w:r>
          </w:p>
        </w:tc>
        <w:tc>
          <w:tcPr>
            <w:tcW w:w="1525" w:type="pct"/>
            <w:tcBorders>
              <w:top w:val="single" w:sz="4" w:space="0" w:color="auto"/>
              <w:left w:val="single" w:sz="4" w:space="0" w:color="auto"/>
              <w:bottom w:val="single" w:sz="4" w:space="0" w:color="auto"/>
              <w:right w:val="single" w:sz="4" w:space="0" w:color="auto"/>
            </w:tcBorders>
            <w:hideMark/>
          </w:tcPr>
          <w:p w:rsidR="008A4475" w:rsidRPr="00412B51" w:rsidRDefault="008A4475" w:rsidP="00CA4CC8">
            <w:pPr>
              <w:tabs>
                <w:tab w:val="left" w:pos="438"/>
              </w:tabs>
              <w:spacing w:after="0" w:line="240" w:lineRule="auto"/>
            </w:pPr>
            <w:r w:rsidRPr="00412B51">
              <w:t>Cost indicator reflecting the cost of providing education, especially in sparsely populated areas with a large land size e.g. Karamoja region</w:t>
            </w:r>
          </w:p>
        </w:tc>
      </w:tr>
      <w:tr w:rsidR="008A4475" w:rsidRPr="00412B51" w:rsidTr="00CA4CC8">
        <w:tc>
          <w:tcPr>
            <w:tcW w:w="123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Fixed Allocation</w:t>
            </w:r>
          </w:p>
        </w:tc>
        <w:tc>
          <w:tcPr>
            <w:tcW w:w="361"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439"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286"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36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380"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415"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20</w:t>
            </w:r>
          </w:p>
        </w:tc>
        <w:tc>
          <w:tcPr>
            <w:tcW w:w="1525"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To ensure that there is a minimum development grant allocation for each LG</w:t>
            </w:r>
          </w:p>
        </w:tc>
      </w:tr>
      <w:tr w:rsidR="008A4475" w:rsidRPr="00412B51" w:rsidTr="00CA4CC8">
        <w:tc>
          <w:tcPr>
            <w:tcW w:w="123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2015/16 Allocations</w:t>
            </w:r>
          </w:p>
        </w:tc>
        <w:tc>
          <w:tcPr>
            <w:tcW w:w="361"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439"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286"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362"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380" w:type="pct"/>
            <w:tcBorders>
              <w:top w:val="single" w:sz="4" w:space="0" w:color="auto"/>
              <w:left w:val="single" w:sz="4" w:space="0" w:color="auto"/>
              <w:bottom w:val="single" w:sz="4" w:space="0" w:color="auto"/>
              <w:right w:val="single" w:sz="4" w:space="0" w:color="auto"/>
            </w:tcBorders>
          </w:tcPr>
          <w:p w:rsidR="008A4475" w:rsidRPr="00412B51" w:rsidDel="00EA1B1B" w:rsidRDefault="008A4475" w:rsidP="00CA4CC8">
            <w:pPr>
              <w:tabs>
                <w:tab w:val="left" w:pos="438"/>
              </w:tabs>
              <w:spacing w:after="0" w:line="240" w:lineRule="auto"/>
            </w:pPr>
            <w:r w:rsidRPr="00412B51">
              <w:t>100</w:t>
            </w:r>
          </w:p>
        </w:tc>
        <w:tc>
          <w:tcPr>
            <w:tcW w:w="415"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0</w:t>
            </w:r>
          </w:p>
        </w:tc>
        <w:tc>
          <w:tcPr>
            <w:tcW w:w="1525" w:type="pct"/>
            <w:tcBorders>
              <w:top w:val="single" w:sz="4" w:space="0" w:color="auto"/>
              <w:left w:val="single" w:sz="4" w:space="0" w:color="auto"/>
              <w:bottom w:val="single" w:sz="4" w:space="0" w:color="auto"/>
              <w:right w:val="single" w:sz="4" w:space="0" w:color="auto"/>
            </w:tcBorders>
          </w:tcPr>
          <w:p w:rsidR="008A4475" w:rsidRPr="00412B51" w:rsidRDefault="008A4475" w:rsidP="00CA4CC8">
            <w:pPr>
              <w:tabs>
                <w:tab w:val="left" w:pos="438"/>
              </w:tabs>
              <w:spacing w:after="0" w:line="240" w:lineRule="auto"/>
            </w:pPr>
            <w:r w:rsidRPr="00412B51">
              <w:t>Input indicator reflecting the number of beneficiaries.  As tertiary institutions have significant spill-over effects, it is not possible to estimate the beneficiary population.</w:t>
            </w:r>
          </w:p>
        </w:tc>
      </w:tr>
    </w:tbl>
    <w:p w:rsidR="008A4475" w:rsidRDefault="008A4475"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4B6798" w:rsidRDefault="004B6798" w:rsidP="008A4475">
      <w:pPr>
        <w:rPr>
          <w:b/>
          <w:sz w:val="24"/>
          <w:szCs w:val="24"/>
          <w:lang w:val="en-GB"/>
        </w:rPr>
      </w:pPr>
    </w:p>
    <w:p w:rsidR="00546615" w:rsidRDefault="00546615" w:rsidP="008A4475">
      <w:pPr>
        <w:rPr>
          <w:b/>
          <w:sz w:val="24"/>
          <w:szCs w:val="24"/>
          <w:lang w:val="en-GB"/>
        </w:rPr>
      </w:pPr>
    </w:p>
    <w:p w:rsidR="00F703C9" w:rsidRDefault="00F703C9" w:rsidP="008A4475">
      <w:pPr>
        <w:rPr>
          <w:b/>
          <w:sz w:val="24"/>
          <w:szCs w:val="24"/>
          <w:lang w:val="en-GB"/>
        </w:rPr>
      </w:pPr>
    </w:p>
    <w:p w:rsidR="00010157" w:rsidRPr="008A4475" w:rsidRDefault="00010157" w:rsidP="008A4475">
      <w:pPr>
        <w:rPr>
          <w:b/>
          <w:sz w:val="24"/>
          <w:szCs w:val="24"/>
          <w:lang w:val="en-GB"/>
        </w:rPr>
      </w:pPr>
    </w:p>
    <w:p w:rsidR="004B3D87" w:rsidRDefault="008A4475" w:rsidP="008A4475">
      <w:pPr>
        <w:ind w:left="360"/>
        <w:rPr>
          <w:b/>
          <w:sz w:val="24"/>
          <w:szCs w:val="24"/>
          <w:lang w:val="en-GB"/>
        </w:rPr>
      </w:pPr>
      <w:r w:rsidRPr="008A4475">
        <w:rPr>
          <w:b/>
          <w:sz w:val="24"/>
          <w:szCs w:val="24"/>
          <w:lang w:val="en-GB"/>
        </w:rPr>
        <w:lastRenderedPageBreak/>
        <w:t xml:space="preserve">2.4. </w:t>
      </w:r>
      <w:r w:rsidR="00BB62F1" w:rsidRPr="008A4475">
        <w:rPr>
          <w:b/>
          <w:sz w:val="24"/>
          <w:szCs w:val="24"/>
          <w:lang w:val="en-GB"/>
        </w:rPr>
        <w:t>Budget Requirements</w:t>
      </w:r>
      <w:r>
        <w:rPr>
          <w:b/>
          <w:sz w:val="24"/>
          <w:szCs w:val="24"/>
          <w:lang w:val="en-GB"/>
        </w:rPr>
        <w:t>:</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462"/>
      </w:tblGrid>
      <w:tr w:rsidR="004B6798" w:rsidRPr="00F56A11" w:rsidTr="00CA4CC8">
        <w:trPr>
          <w:tblHeader/>
        </w:trPr>
        <w:tc>
          <w:tcPr>
            <w:tcW w:w="1292" w:type="pct"/>
            <w:shd w:val="clear" w:color="auto" w:fill="E7E6E6"/>
          </w:tcPr>
          <w:p w:rsidR="004B6798" w:rsidRPr="00F56A11" w:rsidRDefault="004B6798" w:rsidP="00CA4CC8">
            <w:pPr>
              <w:tabs>
                <w:tab w:val="left" w:pos="438"/>
              </w:tabs>
              <w:spacing w:after="0" w:line="240" w:lineRule="auto"/>
              <w:rPr>
                <w:rFonts w:ascii="Times New Roman" w:hAnsi="Times New Roman"/>
                <w:b/>
                <w:sz w:val="24"/>
                <w:lang w:val="en-GB"/>
              </w:rPr>
            </w:pPr>
            <w:r w:rsidRPr="00F56A11">
              <w:rPr>
                <w:rFonts w:ascii="Times New Roman" w:hAnsi="Times New Roman"/>
                <w:b/>
                <w:sz w:val="24"/>
                <w:lang w:val="en-GB"/>
              </w:rPr>
              <w:t>Area</w:t>
            </w:r>
          </w:p>
        </w:tc>
        <w:tc>
          <w:tcPr>
            <w:tcW w:w="3708" w:type="pct"/>
            <w:shd w:val="clear" w:color="auto" w:fill="E7E6E6"/>
          </w:tcPr>
          <w:p w:rsidR="004B6798" w:rsidRPr="00F56A11" w:rsidRDefault="004B6798" w:rsidP="00CA4CC8">
            <w:pPr>
              <w:tabs>
                <w:tab w:val="left" w:pos="438"/>
              </w:tabs>
              <w:spacing w:after="0" w:line="240" w:lineRule="auto"/>
              <w:rPr>
                <w:rFonts w:ascii="Times New Roman" w:hAnsi="Times New Roman"/>
                <w:b/>
                <w:sz w:val="24"/>
                <w:lang w:val="en-GB"/>
              </w:rPr>
            </w:pPr>
            <w:r w:rsidRPr="00F56A11">
              <w:rPr>
                <w:rFonts w:ascii="Times New Roman" w:hAnsi="Times New Roman"/>
                <w:b/>
                <w:sz w:val="24"/>
                <w:lang w:val="en-GB"/>
              </w:rPr>
              <w:t>Summary of Requirements</w:t>
            </w:r>
          </w:p>
        </w:tc>
      </w:tr>
      <w:tr w:rsidR="004B6798" w:rsidRPr="00BD6F39" w:rsidTr="00CA4CC8">
        <w:trPr>
          <w:trHeight w:val="620"/>
        </w:trPr>
        <w:tc>
          <w:tcPr>
            <w:tcW w:w="1292" w:type="pct"/>
            <w:shd w:val="clear" w:color="auto" w:fill="auto"/>
          </w:tcPr>
          <w:p w:rsidR="004B6798" w:rsidRPr="00BD6F39" w:rsidRDefault="004B6798" w:rsidP="00CA4CC8">
            <w:pPr>
              <w:tabs>
                <w:tab w:val="left" w:pos="438"/>
              </w:tabs>
              <w:spacing w:after="0" w:line="240" w:lineRule="auto"/>
              <w:rPr>
                <w:rFonts w:ascii="Times New Roman" w:hAnsi="Times New Roman"/>
              </w:rPr>
            </w:pPr>
            <w:r w:rsidRPr="00BD6F39">
              <w:rPr>
                <w:rFonts w:ascii="Times New Roman" w:hAnsi="Times New Roman"/>
              </w:rPr>
              <w:t>Narrative and Performance Contract</w:t>
            </w: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 xml:space="preserve">The budget narrative </w:t>
            </w:r>
            <w:r w:rsidR="006E5740" w:rsidRPr="00BD6F39">
              <w:rPr>
                <w:rFonts w:ascii="Times New Roman" w:hAnsi="Times New Roman"/>
              </w:rPr>
              <w:t>summarizes</w:t>
            </w:r>
            <w:r w:rsidRPr="00BD6F39">
              <w:rPr>
                <w:rFonts w:ascii="Times New Roman" w:hAnsi="Times New Roman"/>
              </w:rPr>
              <w:t xml:space="preserve"> information on revenue, expenditure and key outputs in the performance contract.</w:t>
            </w:r>
          </w:p>
        </w:tc>
      </w:tr>
      <w:tr w:rsidR="004B6798" w:rsidRPr="00BD6F39" w:rsidTr="00CA4CC8">
        <w:trPr>
          <w:trHeight w:val="620"/>
        </w:trPr>
        <w:tc>
          <w:tcPr>
            <w:tcW w:w="1292" w:type="pct"/>
            <w:shd w:val="clear" w:color="auto" w:fill="auto"/>
          </w:tcPr>
          <w:p w:rsidR="004B6798" w:rsidRPr="00BD6F39" w:rsidRDefault="004B6798" w:rsidP="00CA4CC8">
            <w:pPr>
              <w:tabs>
                <w:tab w:val="left" w:pos="438"/>
              </w:tabs>
              <w:spacing w:after="0" w:line="240" w:lineRule="auto"/>
              <w:rPr>
                <w:rFonts w:ascii="Times New Roman" w:hAnsi="Times New Roman"/>
                <w:lang w:val="en-GB"/>
              </w:rPr>
            </w:pPr>
            <w:r w:rsidRPr="00BD6F39">
              <w:rPr>
                <w:rFonts w:ascii="Times New Roman" w:hAnsi="Times New Roman"/>
              </w:rPr>
              <w:t>Overview of Work plan  Revenues and Expenditure</w:t>
            </w:r>
          </w:p>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Total Work plan revenues and expenditures balance and are divided correctly between wage, non-wage recurrent, GoU and donor development.</w:t>
            </w:r>
          </w:p>
        </w:tc>
      </w:tr>
      <w:tr w:rsidR="004B6798" w:rsidRPr="00BD6F39" w:rsidTr="00CA4CC8">
        <w:tc>
          <w:tcPr>
            <w:tcW w:w="1292" w:type="pct"/>
            <w:vMerge w:val="restart"/>
            <w:shd w:val="clear" w:color="auto" w:fill="auto"/>
          </w:tcPr>
          <w:p w:rsidR="004B6798" w:rsidRPr="00BD6F39" w:rsidRDefault="004B6798" w:rsidP="00CA4CC8">
            <w:pPr>
              <w:tabs>
                <w:tab w:val="left" w:pos="438"/>
              </w:tabs>
              <w:spacing w:after="0" w:line="240" w:lineRule="auto"/>
              <w:rPr>
                <w:rFonts w:ascii="Times New Roman" w:hAnsi="Times New Roman"/>
                <w:lang w:val="en-GB"/>
              </w:rPr>
            </w:pPr>
            <w:r w:rsidRPr="00BD6F39">
              <w:rPr>
                <w:rFonts w:ascii="Times New Roman" w:hAnsi="Times New Roman"/>
                <w:lang w:val="en-GB"/>
              </w:rPr>
              <w:t>Salaries and Related Costs</w:t>
            </w: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Salaries of permanent staff must be within the overall staff and budget ceilings.</w:t>
            </w:r>
          </w:p>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Permanent teaching staff must be funded from the sector conditional wage grant.</w:t>
            </w:r>
          </w:p>
        </w:tc>
      </w:tr>
      <w:tr w:rsidR="004B6798" w:rsidRPr="00BD6F39" w:rsidTr="00CA4CC8">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 xml:space="preserve">Salary allocations to the Education </w:t>
            </w:r>
            <w:r w:rsidR="00CA4CC8">
              <w:rPr>
                <w:rFonts w:ascii="Times New Roman" w:hAnsi="Times New Roman"/>
              </w:rPr>
              <w:t xml:space="preserve">Schools and Institutions </w:t>
            </w:r>
            <w:r w:rsidRPr="00BD6F39">
              <w:rPr>
                <w:rFonts w:ascii="Times New Roman" w:hAnsi="Times New Roman"/>
              </w:rPr>
              <w:t>must be according to the filled posts within the approved structure, recruitment plan and salary scales within a given financial year.</w:t>
            </w:r>
          </w:p>
          <w:p w:rsidR="004B6798" w:rsidRPr="00BD6F39" w:rsidRDefault="004B6798" w:rsidP="004B6798">
            <w:pPr>
              <w:numPr>
                <w:ilvl w:val="0"/>
                <w:numId w:val="7"/>
              </w:numPr>
              <w:tabs>
                <w:tab w:val="left" w:pos="405"/>
              </w:tabs>
              <w:spacing w:after="0" w:line="240" w:lineRule="auto"/>
              <w:ind w:left="405"/>
              <w:rPr>
                <w:rFonts w:ascii="Times New Roman" w:hAnsi="Times New Roman"/>
                <w:lang w:val="en-GB"/>
              </w:rPr>
            </w:pPr>
            <w:r w:rsidRPr="00BD6F39">
              <w:rPr>
                <w:rFonts w:ascii="Times New Roman" w:hAnsi="Times New Roman"/>
              </w:rPr>
              <w:t>E</w:t>
            </w:r>
            <w:r w:rsidRPr="00BD6F39">
              <w:rPr>
                <w:rFonts w:ascii="Times New Roman" w:hAnsi="Times New Roman"/>
                <w:lang w:val="en-GB"/>
              </w:rPr>
              <w:t>ach primary school must have at least a head teacher and a minimum of one teacher for each class.</w:t>
            </w:r>
          </w:p>
        </w:tc>
      </w:tr>
      <w:tr w:rsidR="004B6798" w:rsidRPr="00BD6F39" w:rsidTr="00CA4CC8">
        <w:trPr>
          <w:trHeight w:val="63"/>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In addition, each school must be allocated one additional teacher for every 53 pupils.</w:t>
            </w:r>
          </w:p>
        </w:tc>
      </w:tr>
      <w:tr w:rsidR="004B6798" w:rsidRPr="00BD6F39" w:rsidTr="00CA4CC8">
        <w:trPr>
          <w:trHeight w:val="1002"/>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The budget must include all existing government secondary schools and meet minimum staffing requirements.</w:t>
            </w:r>
          </w:p>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Each secondary school must be allocated a head teacher, a deputy head teacher and one subject teacher per class.</w:t>
            </w:r>
          </w:p>
        </w:tc>
      </w:tr>
      <w:tr w:rsidR="004B6798" w:rsidRPr="00BD6F39" w:rsidTr="00CA4CC8">
        <w:trPr>
          <w:trHeight w:val="768"/>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 xml:space="preserve">The hard-to-reach allowance equivalent to 30% of a member of staff’s salary must be provided for staff in the hard-to-reach areas </w:t>
            </w:r>
            <w:r w:rsidRPr="00BD6F39">
              <w:rPr>
                <w:rFonts w:ascii="Times New Roman" w:hAnsi="Times New Roman"/>
                <w:b/>
              </w:rPr>
              <w:t xml:space="preserve">outside town councils and HLG headquarters, </w:t>
            </w:r>
            <w:r w:rsidRPr="00BD6F39">
              <w:rPr>
                <w:rFonts w:ascii="Times New Roman" w:hAnsi="Times New Roman"/>
              </w:rPr>
              <w:t>in line with the Hard-to-Reach Framework and schedule designated by the Ministry of Public Service.</w:t>
            </w:r>
          </w:p>
        </w:tc>
      </w:tr>
      <w:tr w:rsidR="004B6798" w:rsidRPr="00BD6F39" w:rsidTr="00CA4CC8">
        <w:trPr>
          <w:trHeight w:val="1270"/>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hAnsi="Times New Roman"/>
              </w:rPr>
            </w:pPr>
            <w:r w:rsidRPr="00BD6F39">
              <w:rPr>
                <w:rFonts w:ascii="Times New Roman" w:hAnsi="Times New Roman"/>
              </w:rPr>
              <w:t xml:space="preserve">Local governments with wage conditional allocations greater than what their allocations would be under the new allocation formula are required not to budget for hiring new staff. A schedule of those LGs required to stop hiring is provided alongside the IPFs.  </w:t>
            </w:r>
          </w:p>
        </w:tc>
      </w:tr>
      <w:tr w:rsidR="004B6798" w:rsidRPr="00BD6F39" w:rsidTr="00CA4CC8">
        <w:tc>
          <w:tcPr>
            <w:tcW w:w="1292" w:type="pct"/>
            <w:vMerge w:val="restart"/>
            <w:shd w:val="clear" w:color="auto" w:fill="auto"/>
          </w:tcPr>
          <w:p w:rsidR="004B6798" w:rsidRPr="00BD6F39" w:rsidDel="00B345A8" w:rsidRDefault="004B6798" w:rsidP="00CA4CC8">
            <w:pPr>
              <w:tabs>
                <w:tab w:val="left" w:pos="438"/>
              </w:tabs>
              <w:spacing w:after="0" w:line="240" w:lineRule="auto"/>
              <w:rPr>
                <w:rFonts w:ascii="Times New Roman" w:hAnsi="Times New Roman"/>
                <w:i/>
                <w:lang w:val="en-GB"/>
              </w:rPr>
            </w:pPr>
            <w:r w:rsidRPr="00BD6F39">
              <w:rPr>
                <w:rFonts w:ascii="Times New Roman" w:hAnsi="Times New Roman"/>
                <w:lang w:val="en-GB"/>
              </w:rPr>
              <w:t>Lower Local Services (Transfers to Primary, Secondary and Tertiary Institutions)</w:t>
            </w:r>
          </w:p>
        </w:tc>
        <w:tc>
          <w:tcPr>
            <w:tcW w:w="3708" w:type="pct"/>
            <w:shd w:val="clear" w:color="auto" w:fill="auto"/>
          </w:tcPr>
          <w:p w:rsidR="004B6798" w:rsidRPr="00BD6F39" w:rsidRDefault="004B6798" w:rsidP="004B6798">
            <w:pPr>
              <w:keepNext/>
              <w:keepLines/>
              <w:numPr>
                <w:ilvl w:val="0"/>
                <w:numId w:val="11"/>
              </w:numPr>
              <w:spacing w:before="40" w:after="0"/>
              <w:jc w:val="both"/>
              <w:outlineLvl w:val="2"/>
              <w:rPr>
                <w:rFonts w:ascii="Times New Roman" w:eastAsia="Times New Roman" w:hAnsi="Times New Roman"/>
                <w:lang w:val="en-GB"/>
              </w:rPr>
            </w:pPr>
            <w:r w:rsidRPr="00BD6F39">
              <w:rPr>
                <w:rFonts w:ascii="Times New Roman" w:eastAsia="Times New Roman" w:hAnsi="Times New Roman"/>
                <w:b/>
                <w:lang w:val="en-GB"/>
              </w:rPr>
              <w:t>Transfers for Primary Schools</w:t>
            </w:r>
            <w:r w:rsidRPr="00BD6F39">
              <w:rPr>
                <w:rFonts w:ascii="Times New Roman" w:eastAsia="Times New Roman" w:hAnsi="Times New Roman"/>
                <w:lang w:val="en-GB"/>
              </w:rPr>
              <w:t xml:space="preserve"> are determined as follows: </w:t>
            </w:r>
          </w:p>
          <w:p w:rsidR="004B6798" w:rsidRPr="00BD6F39" w:rsidRDefault="004B6798" w:rsidP="004B6798">
            <w:pPr>
              <w:keepNext/>
              <w:keepLines/>
              <w:numPr>
                <w:ilvl w:val="1"/>
                <w:numId w:val="11"/>
              </w:numPr>
              <w:spacing w:before="40" w:after="0"/>
              <w:ind w:left="689"/>
              <w:jc w:val="both"/>
              <w:outlineLvl w:val="2"/>
              <w:rPr>
                <w:rFonts w:ascii="Times New Roman" w:eastAsia="Times New Roman" w:hAnsi="Times New Roman"/>
                <w:lang w:val="en-GB"/>
              </w:rPr>
            </w:pPr>
            <w:r w:rsidRPr="00BD6F39">
              <w:rPr>
                <w:rFonts w:ascii="Times New Roman" w:eastAsia="Times New Roman" w:hAnsi="Times New Roman"/>
                <w:lang w:val="en-GB"/>
              </w:rPr>
              <w:t>a minimum allocation (threshold) of Ugx 1,350,000 per school per year; plus</w:t>
            </w:r>
          </w:p>
          <w:p w:rsidR="004B6798" w:rsidRPr="00BD6F39" w:rsidRDefault="004B6798" w:rsidP="004B6798">
            <w:pPr>
              <w:keepNext/>
              <w:keepLines/>
              <w:numPr>
                <w:ilvl w:val="1"/>
                <w:numId w:val="11"/>
              </w:numPr>
              <w:spacing w:before="40" w:after="0"/>
              <w:ind w:left="689"/>
              <w:jc w:val="both"/>
              <w:outlineLvl w:val="2"/>
              <w:rPr>
                <w:rFonts w:ascii="Times New Roman" w:eastAsia="Times New Roman" w:hAnsi="Times New Roman"/>
                <w:lang w:val="en-GB"/>
              </w:rPr>
            </w:pPr>
            <w:r w:rsidRPr="00BD6F39">
              <w:rPr>
                <w:rFonts w:ascii="Times New Roman" w:eastAsia="Times New Roman" w:hAnsi="Times New Roman"/>
                <w:lang w:val="en-GB"/>
              </w:rPr>
              <w:t>The detailed allocation criteria is laid out in the Budget Requirements Assessment And Compliance Tool (Page 17).</w:t>
            </w:r>
          </w:p>
        </w:tc>
      </w:tr>
      <w:tr w:rsidR="004B6798" w:rsidRPr="00BD6F39" w:rsidTr="00CA4CC8">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7"/>
              </w:numPr>
              <w:tabs>
                <w:tab w:val="left" w:pos="405"/>
              </w:tabs>
              <w:spacing w:after="0" w:line="240" w:lineRule="auto"/>
              <w:ind w:left="405"/>
              <w:rPr>
                <w:rFonts w:ascii="Times New Roman" w:eastAsia="Times New Roman" w:hAnsi="Times New Roman"/>
                <w:lang w:val="en-GB"/>
              </w:rPr>
            </w:pPr>
            <w:r w:rsidRPr="00BD6F39">
              <w:rPr>
                <w:rFonts w:ascii="Times New Roman" w:eastAsia="Times New Roman" w:hAnsi="Times New Roman"/>
                <w:b/>
                <w:lang w:val="en-GB"/>
              </w:rPr>
              <w:t>Transfers for Secondary Schools</w:t>
            </w:r>
            <w:r w:rsidRPr="00BD6F39">
              <w:rPr>
                <w:rFonts w:ascii="Times New Roman" w:eastAsia="Times New Roman" w:hAnsi="Times New Roman"/>
                <w:lang w:val="en-GB"/>
              </w:rPr>
              <w:t>: Amounts per school should be determined on the basis of enrolment. ( details are laid out in the Budget Requirements Assessment And Compliance Tool – Page 19)</w:t>
            </w:r>
          </w:p>
        </w:tc>
      </w:tr>
      <w:tr w:rsidR="004B6798" w:rsidRPr="00BD6F39" w:rsidTr="00CA4CC8">
        <w:tc>
          <w:tcPr>
            <w:tcW w:w="1292" w:type="pct"/>
            <w:vMerge w:val="restart"/>
            <w:shd w:val="clear" w:color="auto" w:fill="auto"/>
          </w:tcPr>
          <w:p w:rsidR="004B6798" w:rsidRPr="00BD6F39" w:rsidRDefault="004B6798" w:rsidP="00CA4CC8">
            <w:pPr>
              <w:tabs>
                <w:tab w:val="left" w:pos="438"/>
              </w:tabs>
              <w:spacing w:after="0" w:line="240" w:lineRule="auto"/>
              <w:rPr>
                <w:rFonts w:ascii="Times New Roman" w:hAnsi="Times New Roman"/>
                <w:lang w:val="en-GB"/>
              </w:rPr>
            </w:pPr>
            <w:r w:rsidRPr="00BD6F39">
              <w:rPr>
                <w:rFonts w:ascii="Times New Roman" w:hAnsi="Times New Roman"/>
                <w:lang w:val="en-GB"/>
              </w:rPr>
              <w:t>Monitoring, inspection and Management of Education Services</w:t>
            </w:r>
          </w:p>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8"/>
              </w:numPr>
              <w:spacing w:after="0" w:line="240" w:lineRule="auto"/>
              <w:jc w:val="both"/>
              <w:rPr>
                <w:rFonts w:ascii="Times New Roman" w:hAnsi="Times New Roman"/>
                <w:lang w:val="en-GB"/>
              </w:rPr>
            </w:pPr>
            <w:r w:rsidRPr="00BD6F39">
              <w:rPr>
                <w:rFonts w:ascii="Times New Roman" w:hAnsi="Times New Roman"/>
                <w:lang w:val="en-GB"/>
              </w:rPr>
              <w:t>Part of non-wage recurrent budget for the sector may be used for monitoring and management of education service delivery.  This is to cater for DEO’s facilitation and Inspection components.</w:t>
            </w:r>
          </w:p>
        </w:tc>
      </w:tr>
      <w:tr w:rsidR="004B6798" w:rsidRPr="00BD6F39" w:rsidTr="00CA4CC8">
        <w:trPr>
          <w:trHeight w:val="278"/>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8"/>
              </w:numPr>
              <w:spacing w:after="0" w:line="240" w:lineRule="auto"/>
              <w:jc w:val="both"/>
              <w:rPr>
                <w:rFonts w:ascii="Times New Roman" w:hAnsi="Times New Roman"/>
                <w:lang w:val="en-GB"/>
              </w:rPr>
            </w:pPr>
            <w:r w:rsidRPr="00BD6F39">
              <w:rPr>
                <w:rFonts w:ascii="Times New Roman" w:hAnsi="Times New Roman"/>
                <w:lang w:val="en-GB"/>
              </w:rPr>
              <w:t>LGs should ensure minimum budget allocations for</w:t>
            </w:r>
            <w:r w:rsidRPr="00BD6F39">
              <w:rPr>
                <w:rFonts w:ascii="Times New Roman" w:hAnsi="Times New Roman"/>
                <w:b/>
                <w:lang w:val="en-GB"/>
              </w:rPr>
              <w:t xml:space="preserve"> School inspection</w:t>
            </w:r>
            <w:r w:rsidRPr="00BD6F39">
              <w:rPr>
                <w:rFonts w:ascii="Times New Roman" w:hAnsi="Times New Roman"/>
                <w:lang w:val="en-GB"/>
              </w:rPr>
              <w:t xml:space="preserve"> to cover Primary, Secondary and Tertiary institutions are made.</w:t>
            </w:r>
          </w:p>
        </w:tc>
      </w:tr>
      <w:tr w:rsidR="004B6798" w:rsidRPr="00BD6F39" w:rsidTr="00CA4CC8">
        <w:tc>
          <w:tcPr>
            <w:tcW w:w="1292" w:type="pct"/>
            <w:vMerge w:val="restart"/>
            <w:shd w:val="clear" w:color="auto" w:fill="auto"/>
          </w:tcPr>
          <w:p w:rsidR="004B6798" w:rsidRPr="00BD6F39" w:rsidRDefault="004B6798" w:rsidP="00CA4CC8">
            <w:pPr>
              <w:tabs>
                <w:tab w:val="left" w:pos="438"/>
              </w:tabs>
              <w:spacing w:after="0" w:line="240" w:lineRule="auto"/>
              <w:rPr>
                <w:rFonts w:ascii="Times New Roman" w:hAnsi="Times New Roman"/>
                <w:lang w:val="en-GB"/>
              </w:rPr>
            </w:pPr>
            <w:r w:rsidRPr="00BD6F39">
              <w:rPr>
                <w:rFonts w:ascii="Times New Roman" w:hAnsi="Times New Roman"/>
                <w:lang w:val="en-GB"/>
              </w:rPr>
              <w:t>Capacity Building</w:t>
            </w:r>
          </w:p>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9"/>
              </w:numPr>
              <w:spacing w:after="0" w:line="240" w:lineRule="auto"/>
              <w:contextualSpacing/>
              <w:jc w:val="both"/>
              <w:rPr>
                <w:rFonts w:ascii="Times New Roman" w:hAnsi="Times New Roman"/>
                <w:lang w:val="en-GB"/>
              </w:rPr>
            </w:pPr>
            <w:r w:rsidRPr="00BD6F39">
              <w:rPr>
                <w:rFonts w:ascii="Times New Roman" w:hAnsi="Times New Roman"/>
                <w:lang w:val="en-GB"/>
              </w:rPr>
              <w:t xml:space="preserve">Up to 10% of the development budget may be used for capacity development for the education department. </w:t>
            </w:r>
          </w:p>
        </w:tc>
      </w:tr>
      <w:tr w:rsidR="004B6798" w:rsidRPr="00BD6F39" w:rsidTr="00CA4CC8">
        <w:trPr>
          <w:trHeight w:val="481"/>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9"/>
              </w:numPr>
              <w:spacing w:after="0" w:line="240" w:lineRule="auto"/>
              <w:contextualSpacing/>
              <w:jc w:val="both"/>
              <w:rPr>
                <w:rFonts w:ascii="Times New Roman" w:hAnsi="Times New Roman"/>
                <w:lang w:val="en-GB"/>
              </w:rPr>
            </w:pPr>
            <w:r w:rsidRPr="00BD6F39">
              <w:rPr>
                <w:rFonts w:ascii="Times New Roman" w:hAnsi="Times New Roman"/>
                <w:lang w:val="en-GB"/>
              </w:rPr>
              <w:t>Capacity building activities should be consistent with the positive and negative lists (see table below).</w:t>
            </w:r>
          </w:p>
        </w:tc>
      </w:tr>
      <w:tr w:rsidR="004B6798" w:rsidRPr="00BD6F39" w:rsidTr="00CA4CC8">
        <w:tc>
          <w:tcPr>
            <w:tcW w:w="1292" w:type="pct"/>
            <w:vMerge w:val="restart"/>
            <w:shd w:val="clear" w:color="auto" w:fill="auto"/>
          </w:tcPr>
          <w:p w:rsidR="004B6798" w:rsidRPr="00BD6F39" w:rsidRDefault="004B6798" w:rsidP="00CA4CC8">
            <w:pPr>
              <w:tabs>
                <w:tab w:val="left" w:pos="438"/>
              </w:tabs>
              <w:spacing w:after="0" w:line="240" w:lineRule="auto"/>
              <w:rPr>
                <w:rFonts w:ascii="Times New Roman" w:hAnsi="Times New Roman"/>
                <w:lang w:val="en-GB"/>
              </w:rPr>
            </w:pPr>
            <w:r w:rsidRPr="00BD6F39">
              <w:rPr>
                <w:rFonts w:ascii="Times New Roman" w:hAnsi="Times New Roman"/>
                <w:lang w:val="en-GB"/>
              </w:rPr>
              <w:t>Development Investments</w:t>
            </w:r>
          </w:p>
        </w:tc>
        <w:tc>
          <w:tcPr>
            <w:tcW w:w="3708" w:type="pct"/>
            <w:shd w:val="clear" w:color="auto" w:fill="auto"/>
          </w:tcPr>
          <w:p w:rsidR="004B6798" w:rsidRPr="00BD6F39" w:rsidRDefault="004B6798" w:rsidP="004B6798">
            <w:pPr>
              <w:numPr>
                <w:ilvl w:val="0"/>
                <w:numId w:val="9"/>
              </w:numPr>
              <w:spacing w:after="0" w:line="240" w:lineRule="auto"/>
              <w:contextualSpacing/>
              <w:jc w:val="both"/>
              <w:rPr>
                <w:rFonts w:ascii="Times New Roman" w:eastAsia="Times New Roman" w:hAnsi="Times New Roman"/>
                <w:lang w:val="en-GB"/>
              </w:rPr>
            </w:pPr>
            <w:r w:rsidRPr="00BD6F39">
              <w:rPr>
                <w:rFonts w:ascii="Times New Roman" w:eastAsia="Times New Roman" w:hAnsi="Times New Roman"/>
                <w:lang w:val="en-GB"/>
              </w:rPr>
              <w:t xml:space="preserve">At least 80% of development budget will be used for capital investments, to fund </w:t>
            </w:r>
            <w:r w:rsidRPr="00BD6F39">
              <w:rPr>
                <w:rFonts w:ascii="Times New Roman" w:hAnsi="Times New Roman"/>
                <w:lang w:val="en-GB"/>
              </w:rPr>
              <w:t>rehabilitation or construction of service delivery or administrative infrastructure.</w:t>
            </w:r>
          </w:p>
        </w:tc>
      </w:tr>
      <w:tr w:rsidR="004B6798" w:rsidRPr="00BD6F39" w:rsidTr="00CA4CC8">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 xml:space="preserve">Prioritising Primary School Facilities:  Priority should be given to (a) parishes which do not have primary schools and (b) the schools with the highest pupil to classroom ratios.  </w:t>
            </w:r>
          </w:p>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Schools with high rehabilitation needs guided by a prior needs assessments exercise should be prioritised</w:t>
            </w:r>
          </w:p>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Schools with emergency cases should be accorded priority</w:t>
            </w:r>
          </w:p>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Schools with critical Sanitation (high Pupil Stance Ratio) and Water (Water Tanks) requirements should be prioritised</w:t>
            </w:r>
          </w:p>
        </w:tc>
      </w:tr>
      <w:tr w:rsidR="004B6798" w:rsidRPr="00BD6F39" w:rsidTr="00CA4CC8">
        <w:trPr>
          <w:trHeight w:val="1259"/>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 xml:space="preserve">Prioritising Secondary School Facilities:  Priority should be given to a) subcounties without secondary schools b) schools with high Student to classroom ratios.  </w:t>
            </w:r>
          </w:p>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Schools with high rehabilitation needs guided by a prior needs assessments exercise should be prioritised</w:t>
            </w:r>
          </w:p>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Schools with emergency cases should be accorded priority</w:t>
            </w:r>
          </w:p>
          <w:p w:rsidR="004B6798" w:rsidRPr="00BD6F39" w:rsidRDefault="004B6798" w:rsidP="004B6798">
            <w:pPr>
              <w:keepNext/>
              <w:keepLines/>
              <w:numPr>
                <w:ilvl w:val="0"/>
                <w:numId w:val="9"/>
              </w:numPr>
              <w:spacing w:before="40" w:after="0"/>
              <w:outlineLvl w:val="2"/>
              <w:rPr>
                <w:rFonts w:ascii="Times New Roman" w:eastAsia="Times New Roman" w:hAnsi="Times New Roman"/>
                <w:lang w:val="en-GB"/>
              </w:rPr>
            </w:pPr>
            <w:r w:rsidRPr="00BD6F39">
              <w:rPr>
                <w:rFonts w:ascii="Times New Roman" w:eastAsia="Times New Roman" w:hAnsi="Times New Roman"/>
                <w:lang w:val="en-GB"/>
              </w:rPr>
              <w:t>Schools with critical Sanitation (high Student Stance Ratio) and Water requirements (Water Tanks) should be prioritised</w:t>
            </w:r>
          </w:p>
        </w:tc>
      </w:tr>
      <w:tr w:rsidR="004B6798" w:rsidRPr="00BD6F39" w:rsidTr="00CA4CC8">
        <w:trPr>
          <w:trHeight w:val="154"/>
        </w:trPr>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keepNext/>
              <w:keepLines/>
              <w:numPr>
                <w:ilvl w:val="0"/>
                <w:numId w:val="10"/>
              </w:numPr>
              <w:spacing w:after="0" w:line="240" w:lineRule="auto"/>
              <w:outlineLvl w:val="2"/>
              <w:rPr>
                <w:rFonts w:ascii="Times New Roman" w:eastAsia="Times New Roman" w:hAnsi="Times New Roman"/>
                <w:lang w:val="en-GB"/>
              </w:rPr>
            </w:pPr>
            <w:bookmarkStart w:id="1" w:name="_Toc442337128"/>
            <w:r w:rsidRPr="00BD6F39">
              <w:rPr>
                <w:rFonts w:ascii="Times New Roman" w:eastAsia="Times New Roman" w:hAnsi="Times New Roman"/>
                <w:lang w:val="en-GB"/>
              </w:rPr>
              <w:t xml:space="preserve">The local government must also receive written authorisation from </w:t>
            </w:r>
            <w:r w:rsidR="00CA4CC8">
              <w:rPr>
                <w:rFonts w:ascii="Times New Roman" w:eastAsia="Times New Roman" w:hAnsi="Times New Roman"/>
                <w:lang w:val="en-GB"/>
              </w:rPr>
              <w:t>MoES</w:t>
            </w:r>
            <w:r w:rsidRPr="00BD6F39">
              <w:rPr>
                <w:rFonts w:ascii="Times New Roman" w:eastAsia="Times New Roman" w:hAnsi="Times New Roman"/>
                <w:lang w:val="en-GB"/>
              </w:rPr>
              <w:t xml:space="preserve"> before budgeting for a new school to be constructed.</w:t>
            </w:r>
            <w:bookmarkEnd w:id="1"/>
          </w:p>
        </w:tc>
      </w:tr>
      <w:tr w:rsidR="004B6798" w:rsidRPr="00BD6F39" w:rsidTr="00CA4CC8">
        <w:tc>
          <w:tcPr>
            <w:tcW w:w="1292" w:type="pct"/>
            <w:vMerge/>
            <w:shd w:val="clear" w:color="auto" w:fill="auto"/>
          </w:tcPr>
          <w:p w:rsidR="004B6798" w:rsidRPr="00BD6F39" w:rsidRDefault="004B6798" w:rsidP="00CA4CC8">
            <w:pPr>
              <w:tabs>
                <w:tab w:val="left" w:pos="438"/>
              </w:tabs>
              <w:spacing w:after="0" w:line="240" w:lineRule="auto"/>
              <w:rPr>
                <w:rFonts w:ascii="Times New Roman" w:hAnsi="Times New Roman"/>
                <w:lang w:val="en-GB"/>
              </w:rPr>
            </w:pPr>
          </w:p>
        </w:tc>
        <w:tc>
          <w:tcPr>
            <w:tcW w:w="3708" w:type="pct"/>
            <w:shd w:val="clear" w:color="auto" w:fill="auto"/>
          </w:tcPr>
          <w:p w:rsidR="004B6798" w:rsidRPr="00BD6F39" w:rsidRDefault="004B6798" w:rsidP="004B6798">
            <w:pPr>
              <w:numPr>
                <w:ilvl w:val="0"/>
                <w:numId w:val="10"/>
              </w:numPr>
              <w:spacing w:after="0" w:line="240" w:lineRule="auto"/>
              <w:rPr>
                <w:rFonts w:ascii="Times New Roman" w:hAnsi="Times New Roman"/>
              </w:rPr>
            </w:pPr>
            <w:r w:rsidRPr="00BD6F39">
              <w:rPr>
                <w:rFonts w:ascii="Times New Roman" w:hAnsi="Times New Roman"/>
              </w:rPr>
              <w:t>Recurrent costs of new schools must be submitted to the Ministry of Finance, Planning and Economic Development for inclusion in the new FY.</w:t>
            </w:r>
          </w:p>
          <w:p w:rsidR="004B6798" w:rsidRPr="00BD6F39" w:rsidRDefault="004B6798" w:rsidP="004B6798">
            <w:pPr>
              <w:numPr>
                <w:ilvl w:val="0"/>
                <w:numId w:val="10"/>
              </w:numPr>
              <w:spacing w:after="0" w:line="240" w:lineRule="auto"/>
              <w:rPr>
                <w:rFonts w:ascii="Times New Roman" w:hAnsi="Times New Roman"/>
              </w:rPr>
            </w:pPr>
            <w:r w:rsidRPr="00BD6F39">
              <w:rPr>
                <w:rFonts w:ascii="Times New Roman" w:hAnsi="Times New Roman"/>
              </w:rPr>
              <w:t xml:space="preserve">These recurrent costs (wage and non-wage) are to be used in the running of the new schools </w:t>
            </w:r>
          </w:p>
        </w:tc>
      </w:tr>
      <w:tr w:rsidR="004B6798" w:rsidRPr="00BD6F39" w:rsidTr="00CA4CC8">
        <w:tc>
          <w:tcPr>
            <w:tcW w:w="1292" w:type="pct"/>
            <w:vMerge/>
            <w:shd w:val="clear" w:color="auto" w:fill="auto"/>
          </w:tcPr>
          <w:p w:rsidR="004B6798" w:rsidRPr="00BD6F39" w:rsidRDefault="004B6798" w:rsidP="00CA4CC8">
            <w:pPr>
              <w:tabs>
                <w:tab w:val="left" w:pos="0"/>
              </w:tabs>
              <w:spacing w:after="0" w:line="240" w:lineRule="auto"/>
              <w:rPr>
                <w:rFonts w:ascii="Times New Roman" w:hAnsi="Times New Roman"/>
                <w:color w:val="000000"/>
              </w:rPr>
            </w:pPr>
          </w:p>
        </w:tc>
        <w:tc>
          <w:tcPr>
            <w:tcW w:w="3708" w:type="pct"/>
            <w:shd w:val="clear" w:color="auto" w:fill="auto"/>
          </w:tcPr>
          <w:p w:rsidR="004B6798" w:rsidRPr="00BD6F39" w:rsidRDefault="004B6798" w:rsidP="004B6798">
            <w:pPr>
              <w:numPr>
                <w:ilvl w:val="0"/>
                <w:numId w:val="10"/>
              </w:numPr>
              <w:tabs>
                <w:tab w:val="left" w:pos="438"/>
              </w:tabs>
              <w:spacing w:after="0" w:line="240" w:lineRule="auto"/>
              <w:rPr>
                <w:rFonts w:ascii="Times New Roman" w:eastAsia="Times New Roman" w:hAnsi="Times New Roman"/>
                <w:lang w:val="en-GB"/>
              </w:rPr>
            </w:pPr>
            <w:r w:rsidRPr="00BD6F39">
              <w:rPr>
                <w:rFonts w:ascii="Times New Roman" w:hAnsi="Times New Roman"/>
              </w:rPr>
              <w:t>At most, 10% of budget allocations to education infrastructure construction and rehabilitation (capital outputs) will finance investment service costs, such as bills of quantities or economic impact assessments.</w:t>
            </w:r>
          </w:p>
        </w:tc>
      </w:tr>
      <w:tr w:rsidR="004B6798" w:rsidRPr="00BD6F39" w:rsidTr="00CA4CC8">
        <w:tc>
          <w:tcPr>
            <w:tcW w:w="1292" w:type="pct"/>
            <w:vMerge/>
            <w:tcBorders>
              <w:bottom w:val="single" w:sz="4" w:space="0" w:color="auto"/>
            </w:tcBorders>
            <w:shd w:val="clear" w:color="auto" w:fill="auto"/>
          </w:tcPr>
          <w:p w:rsidR="004B6798" w:rsidRPr="00BD6F39" w:rsidRDefault="004B6798" w:rsidP="00CA4CC8">
            <w:pPr>
              <w:tabs>
                <w:tab w:val="left" w:pos="438"/>
              </w:tabs>
              <w:spacing w:after="0" w:line="240" w:lineRule="auto"/>
              <w:rPr>
                <w:rFonts w:ascii="Times New Roman" w:hAnsi="Times New Roman"/>
              </w:rPr>
            </w:pPr>
          </w:p>
        </w:tc>
        <w:tc>
          <w:tcPr>
            <w:tcW w:w="3708" w:type="pct"/>
            <w:tcBorders>
              <w:top w:val="single" w:sz="4" w:space="0" w:color="auto"/>
              <w:bottom w:val="single" w:sz="4" w:space="0" w:color="auto"/>
              <w:right w:val="single" w:sz="4" w:space="0" w:color="auto"/>
            </w:tcBorders>
            <w:shd w:val="clear" w:color="auto" w:fill="auto"/>
          </w:tcPr>
          <w:p w:rsidR="004B6798" w:rsidRPr="00BD6F39" w:rsidRDefault="004B6798" w:rsidP="004B6798">
            <w:pPr>
              <w:numPr>
                <w:ilvl w:val="0"/>
                <w:numId w:val="10"/>
              </w:numPr>
              <w:tabs>
                <w:tab w:val="left" w:pos="438"/>
              </w:tabs>
              <w:spacing w:after="0" w:line="240" w:lineRule="auto"/>
              <w:rPr>
                <w:rFonts w:ascii="Times New Roman" w:hAnsi="Times New Roman"/>
              </w:rPr>
            </w:pPr>
            <w:r w:rsidRPr="00BD6F39">
              <w:rPr>
                <w:rFonts w:ascii="Times New Roman" w:hAnsi="Times New Roman"/>
              </w:rPr>
              <w:t>Local governments must not budget for activities specified in the negative list for capital investment (see table below).</w:t>
            </w:r>
          </w:p>
        </w:tc>
      </w:tr>
    </w:tbl>
    <w:p w:rsidR="008A4475" w:rsidRDefault="008A4475" w:rsidP="006E5740">
      <w:pPr>
        <w:rPr>
          <w:b/>
          <w:sz w:val="24"/>
          <w:szCs w:val="24"/>
          <w:lang w:val="en-GB"/>
        </w:rPr>
      </w:pPr>
    </w:p>
    <w:p w:rsidR="00B73EFE" w:rsidRPr="008A4475" w:rsidRDefault="00B73EFE" w:rsidP="006E5740">
      <w:pPr>
        <w:rPr>
          <w:b/>
          <w:sz w:val="24"/>
          <w:szCs w:val="24"/>
          <w:lang w:val="en-GB"/>
        </w:rPr>
      </w:pPr>
    </w:p>
    <w:p w:rsidR="004B6798" w:rsidRPr="006E5740" w:rsidRDefault="008A4475" w:rsidP="006E5740">
      <w:pPr>
        <w:rPr>
          <w:rFonts w:cstheme="minorHAnsi"/>
          <w:b/>
          <w:sz w:val="24"/>
          <w:szCs w:val="24"/>
          <w:lang w:val="en-GB"/>
        </w:rPr>
      </w:pPr>
      <w:r w:rsidRPr="006E5740">
        <w:rPr>
          <w:rFonts w:cstheme="minorHAnsi"/>
          <w:b/>
          <w:sz w:val="24"/>
          <w:szCs w:val="24"/>
          <w:lang w:val="en-GB"/>
        </w:rPr>
        <w:t xml:space="preserve">2.5. </w:t>
      </w:r>
      <w:r w:rsidR="00B73EFE" w:rsidRPr="006E5740">
        <w:rPr>
          <w:rFonts w:cstheme="minorHAnsi"/>
          <w:b/>
          <w:sz w:val="24"/>
          <w:szCs w:val="24"/>
          <w:lang w:val="en-GB"/>
        </w:rPr>
        <w:t>BUDGETING FOR SCHOOLS</w:t>
      </w:r>
    </w:p>
    <w:p w:rsidR="004B6798" w:rsidRPr="006E5740" w:rsidRDefault="004B6798" w:rsidP="006E5740">
      <w:pPr>
        <w:rPr>
          <w:rFonts w:cstheme="minorHAnsi"/>
          <w:b/>
          <w:sz w:val="24"/>
          <w:szCs w:val="24"/>
          <w:lang w:val="en-GB"/>
        </w:rPr>
      </w:pPr>
      <w:r w:rsidRPr="006E5740">
        <w:rPr>
          <w:rFonts w:cstheme="minorHAnsi"/>
          <w:b/>
          <w:sz w:val="24"/>
          <w:szCs w:val="24"/>
          <w:lang w:val="en-GB"/>
        </w:rPr>
        <w:t>2.5.1. UPE Grant:</w:t>
      </w:r>
    </w:p>
    <w:p w:rsidR="004B6798" w:rsidRPr="006E5740" w:rsidRDefault="004B6798" w:rsidP="006E5740">
      <w:pPr>
        <w:jc w:val="both"/>
        <w:rPr>
          <w:rFonts w:cstheme="minorHAnsi"/>
          <w:b/>
          <w:sz w:val="24"/>
          <w:szCs w:val="24"/>
          <w:lang w:val="en-GB"/>
        </w:rPr>
      </w:pPr>
      <w:r w:rsidRPr="006E5740">
        <w:rPr>
          <w:rFonts w:eastAsia="Times New Roman" w:cstheme="minorHAnsi"/>
          <w:sz w:val="24"/>
          <w:szCs w:val="24"/>
          <w:lang w:val="en-GB"/>
        </w:rPr>
        <w:t xml:space="preserve">Transfers for Primary Schools are determined as follows: </w:t>
      </w:r>
    </w:p>
    <w:p w:rsidR="004B6798" w:rsidRPr="006E5740" w:rsidRDefault="004B6798" w:rsidP="00FC7B9D">
      <w:pPr>
        <w:jc w:val="both"/>
        <w:rPr>
          <w:rFonts w:cstheme="minorHAnsi"/>
          <w:b/>
          <w:sz w:val="24"/>
          <w:szCs w:val="24"/>
          <w:lang w:val="en-GB"/>
        </w:rPr>
      </w:pPr>
      <w:r w:rsidRPr="006E5740">
        <w:rPr>
          <w:rFonts w:eastAsia="Times New Roman" w:cstheme="minorHAnsi"/>
          <w:sz w:val="24"/>
          <w:szCs w:val="24"/>
          <w:lang w:val="en-GB"/>
        </w:rPr>
        <w:t xml:space="preserve">Under Output </w:t>
      </w:r>
      <w:r w:rsidRPr="00AF2C73">
        <w:rPr>
          <w:rFonts w:eastAsia="Times New Roman" w:cstheme="minorHAnsi"/>
          <w:b/>
          <w:sz w:val="24"/>
          <w:szCs w:val="24"/>
          <w:lang w:val="en-GB"/>
        </w:rPr>
        <w:t xml:space="preserve">078151 </w:t>
      </w:r>
      <w:r w:rsidRPr="006E5740">
        <w:rPr>
          <w:rFonts w:eastAsia="Times New Roman" w:cstheme="minorHAnsi"/>
          <w:sz w:val="24"/>
          <w:szCs w:val="24"/>
          <w:lang w:val="en-GB"/>
        </w:rPr>
        <w:t xml:space="preserve">‘Primary School services UPE’, allocations to all primary schools under the </w:t>
      </w:r>
      <w:r w:rsidR="00CA4CC8">
        <w:rPr>
          <w:rFonts w:eastAsia="Times New Roman" w:cstheme="minorHAnsi"/>
          <w:sz w:val="24"/>
          <w:szCs w:val="24"/>
          <w:lang w:val="en-GB"/>
        </w:rPr>
        <w:t>MoES</w:t>
      </w:r>
      <w:r w:rsidRPr="006E5740">
        <w:rPr>
          <w:rFonts w:eastAsia="Times New Roman" w:cstheme="minorHAnsi"/>
          <w:sz w:val="24"/>
          <w:szCs w:val="24"/>
          <w:lang w:val="en-GB"/>
        </w:rPr>
        <w:t xml:space="preserve"> should appear separately in the expenditure details for work plan 6.  Only primary schools </w:t>
      </w:r>
      <w:r w:rsidR="00CA4CC8">
        <w:rPr>
          <w:rFonts w:eastAsia="Times New Roman" w:cstheme="minorHAnsi"/>
          <w:sz w:val="24"/>
          <w:szCs w:val="24"/>
          <w:lang w:val="en-GB"/>
        </w:rPr>
        <w:t>that are captured under the EMIS database</w:t>
      </w:r>
      <w:r w:rsidR="00AF2C73">
        <w:rPr>
          <w:rFonts w:eastAsia="Times New Roman" w:cstheme="minorHAnsi"/>
          <w:sz w:val="24"/>
          <w:szCs w:val="24"/>
          <w:lang w:val="en-GB"/>
        </w:rPr>
        <w:t xml:space="preserve"> should be budgeted for</w:t>
      </w:r>
      <w:r w:rsidR="00FC7B9D" w:rsidRPr="006E5740">
        <w:rPr>
          <w:rFonts w:eastAsia="Times New Roman" w:cstheme="minorHAnsi"/>
          <w:sz w:val="24"/>
          <w:szCs w:val="24"/>
          <w:lang w:val="en-GB"/>
        </w:rPr>
        <w:t>.</w:t>
      </w:r>
    </w:p>
    <w:p w:rsidR="004B6798" w:rsidRPr="006E5740" w:rsidRDefault="004B6798" w:rsidP="00FC7B9D">
      <w:pPr>
        <w:pStyle w:val="ListParagraph"/>
        <w:numPr>
          <w:ilvl w:val="0"/>
          <w:numId w:val="21"/>
        </w:numPr>
        <w:jc w:val="both"/>
        <w:rPr>
          <w:rFonts w:eastAsia="Times New Roman" w:cstheme="minorHAnsi"/>
          <w:sz w:val="24"/>
          <w:szCs w:val="24"/>
          <w:lang w:val="en-GB"/>
        </w:rPr>
      </w:pPr>
      <w:r w:rsidRPr="006E5740">
        <w:rPr>
          <w:rFonts w:eastAsia="Times New Roman" w:cstheme="minorHAnsi"/>
          <w:sz w:val="24"/>
          <w:szCs w:val="24"/>
          <w:lang w:val="en-GB"/>
        </w:rPr>
        <w:lastRenderedPageBreak/>
        <w:t>Step 1: Multiply number of pupils by 10,000 unit cost = Total budget for UPE</w:t>
      </w:r>
    </w:p>
    <w:p w:rsidR="004B6798" w:rsidRPr="006E5740" w:rsidRDefault="004B6798" w:rsidP="00FC7B9D">
      <w:pPr>
        <w:pStyle w:val="ListParagraph"/>
        <w:numPr>
          <w:ilvl w:val="0"/>
          <w:numId w:val="21"/>
        </w:numPr>
        <w:jc w:val="both"/>
        <w:rPr>
          <w:rFonts w:eastAsia="Times New Roman" w:cstheme="minorHAnsi"/>
          <w:sz w:val="24"/>
          <w:szCs w:val="24"/>
          <w:lang w:val="en-GB"/>
        </w:rPr>
      </w:pPr>
      <w:r w:rsidRPr="006E5740">
        <w:rPr>
          <w:rFonts w:eastAsia="Times New Roman" w:cstheme="minorHAnsi"/>
          <w:sz w:val="24"/>
          <w:szCs w:val="24"/>
          <w:lang w:val="en-GB"/>
        </w:rPr>
        <w:t>Step 2: Determine Threshold</w:t>
      </w:r>
    </w:p>
    <w:p w:rsidR="004B6798" w:rsidRPr="006E5740" w:rsidRDefault="004B6798" w:rsidP="00CA4CC8">
      <w:pPr>
        <w:pStyle w:val="ListParagraph"/>
        <w:spacing w:after="200" w:line="240" w:lineRule="auto"/>
        <w:jc w:val="both"/>
        <w:rPr>
          <w:rFonts w:eastAsia="Times New Roman" w:cstheme="minorHAnsi"/>
          <w:sz w:val="24"/>
          <w:szCs w:val="24"/>
          <w:lang w:val="en-GB"/>
        </w:rPr>
      </w:pPr>
      <w:r w:rsidRPr="006E5740">
        <w:rPr>
          <w:rFonts w:eastAsia="Times New Roman" w:cstheme="minorHAnsi"/>
          <w:sz w:val="24"/>
          <w:szCs w:val="24"/>
          <w:lang w:val="en-GB"/>
        </w:rPr>
        <w:t>1,350,000 x number of school</w:t>
      </w:r>
    </w:p>
    <w:p w:rsidR="004B6798" w:rsidRPr="006E5740" w:rsidRDefault="004B6798" w:rsidP="00FC7B9D">
      <w:pPr>
        <w:pStyle w:val="ListParagraph"/>
        <w:numPr>
          <w:ilvl w:val="0"/>
          <w:numId w:val="21"/>
        </w:numPr>
        <w:spacing w:after="200" w:line="240" w:lineRule="auto"/>
        <w:jc w:val="both"/>
        <w:rPr>
          <w:rFonts w:eastAsia="Times New Roman" w:cstheme="minorHAnsi"/>
          <w:sz w:val="24"/>
          <w:szCs w:val="24"/>
          <w:lang w:val="en-GB"/>
        </w:rPr>
      </w:pPr>
      <w:r w:rsidRPr="006E5740">
        <w:rPr>
          <w:rFonts w:eastAsia="Times New Roman" w:cstheme="minorHAnsi"/>
          <w:sz w:val="24"/>
          <w:szCs w:val="24"/>
          <w:lang w:val="en-GB"/>
        </w:rPr>
        <w:t>Step 3:</w:t>
      </w:r>
      <w:r w:rsidRPr="006E5740">
        <w:rPr>
          <w:rFonts w:eastAsia="Times New Roman" w:cstheme="minorHAnsi"/>
          <w:sz w:val="24"/>
          <w:szCs w:val="24"/>
          <w:lang w:val="en-GB"/>
        </w:rPr>
        <w:tab/>
        <w:t>Determine variable for Local Government</w:t>
      </w:r>
    </w:p>
    <w:p w:rsidR="00FC7B9D" w:rsidRPr="006E5740" w:rsidRDefault="004B6798" w:rsidP="00CA4CC8">
      <w:pPr>
        <w:pStyle w:val="ListParagraph"/>
        <w:spacing w:after="200" w:line="240" w:lineRule="auto"/>
        <w:jc w:val="both"/>
        <w:rPr>
          <w:rFonts w:eastAsia="Times New Roman" w:cstheme="minorHAnsi"/>
          <w:sz w:val="24"/>
          <w:szCs w:val="24"/>
          <w:lang w:val="en-GB"/>
        </w:rPr>
      </w:pPr>
      <w:r w:rsidRPr="006E5740">
        <w:rPr>
          <w:rFonts w:eastAsia="Times New Roman" w:cstheme="minorHAnsi"/>
          <w:sz w:val="24"/>
          <w:szCs w:val="24"/>
          <w:lang w:val="en-GB"/>
        </w:rPr>
        <w:t>To</w:t>
      </w:r>
      <w:r w:rsidR="00CC0D66">
        <w:rPr>
          <w:rFonts w:eastAsia="Times New Roman" w:cstheme="minorHAnsi"/>
          <w:sz w:val="24"/>
          <w:szCs w:val="24"/>
          <w:lang w:val="en-GB"/>
        </w:rPr>
        <w:t>tal UPE budget less Threshold (</w:t>
      </w:r>
      <w:r w:rsidRPr="006E5740">
        <w:rPr>
          <w:rFonts w:eastAsia="Times New Roman" w:cstheme="minorHAnsi"/>
          <w:sz w:val="24"/>
          <w:szCs w:val="24"/>
          <w:lang w:val="en-GB"/>
        </w:rPr>
        <w:t>Step 1 – Step 2)</w:t>
      </w:r>
    </w:p>
    <w:p w:rsidR="00FC7B9D" w:rsidRPr="006E5740" w:rsidRDefault="004B6798" w:rsidP="00FC7B9D">
      <w:pPr>
        <w:pStyle w:val="ListParagraph"/>
        <w:numPr>
          <w:ilvl w:val="0"/>
          <w:numId w:val="21"/>
        </w:numPr>
        <w:spacing w:after="200" w:line="240" w:lineRule="auto"/>
        <w:jc w:val="both"/>
        <w:rPr>
          <w:rFonts w:eastAsia="Times New Roman" w:cstheme="minorHAnsi"/>
          <w:sz w:val="24"/>
          <w:szCs w:val="24"/>
          <w:lang w:val="en-GB"/>
        </w:rPr>
      </w:pPr>
      <w:r w:rsidRPr="006E5740">
        <w:rPr>
          <w:rFonts w:eastAsia="Times New Roman" w:cstheme="minorHAnsi"/>
          <w:sz w:val="24"/>
          <w:szCs w:val="24"/>
          <w:lang w:val="en-GB"/>
        </w:rPr>
        <w:t>Step 4: Determine variable unit cost</w:t>
      </w:r>
    </w:p>
    <w:p w:rsidR="004B6798" w:rsidRPr="006E5740" w:rsidRDefault="004B6798" w:rsidP="00CA4CC8">
      <w:pPr>
        <w:pStyle w:val="ListParagraph"/>
        <w:spacing w:after="200" w:line="240" w:lineRule="auto"/>
        <w:jc w:val="both"/>
        <w:rPr>
          <w:rFonts w:eastAsia="Times New Roman" w:cstheme="minorHAnsi"/>
          <w:sz w:val="24"/>
          <w:szCs w:val="24"/>
          <w:lang w:val="en-GB"/>
        </w:rPr>
      </w:pPr>
      <w:r w:rsidRPr="006E5740">
        <w:rPr>
          <w:rFonts w:eastAsia="Times New Roman" w:cstheme="minorHAnsi"/>
          <w:sz w:val="24"/>
          <w:szCs w:val="24"/>
          <w:lang w:val="en-GB"/>
        </w:rPr>
        <w:t xml:space="preserve">District variable divide by pupil population of district (Step 3 / pupil </w:t>
      </w:r>
      <w:r w:rsidR="00CA4CC8" w:rsidRPr="006E5740">
        <w:rPr>
          <w:rFonts w:eastAsia="Times New Roman" w:cstheme="minorHAnsi"/>
          <w:sz w:val="24"/>
          <w:szCs w:val="24"/>
          <w:lang w:val="en-GB"/>
        </w:rPr>
        <w:t>population)</w:t>
      </w:r>
    </w:p>
    <w:p w:rsidR="00FC7B9D" w:rsidRPr="006E5740" w:rsidRDefault="004B6798" w:rsidP="00FC7B9D">
      <w:pPr>
        <w:pStyle w:val="ListParagraph"/>
        <w:numPr>
          <w:ilvl w:val="0"/>
          <w:numId w:val="21"/>
        </w:numPr>
        <w:spacing w:line="240" w:lineRule="auto"/>
        <w:jc w:val="both"/>
        <w:rPr>
          <w:rFonts w:eastAsia="Times New Roman" w:cstheme="minorHAnsi"/>
          <w:sz w:val="24"/>
          <w:szCs w:val="24"/>
          <w:lang w:val="en-GB"/>
        </w:rPr>
      </w:pPr>
      <w:r w:rsidRPr="006E5740">
        <w:rPr>
          <w:rFonts w:eastAsia="Times New Roman" w:cstheme="minorHAnsi"/>
          <w:sz w:val="24"/>
          <w:szCs w:val="24"/>
          <w:lang w:val="en-GB"/>
        </w:rPr>
        <w:t>Step 5: Determine variable per school</w:t>
      </w:r>
    </w:p>
    <w:p w:rsidR="004B6798" w:rsidRPr="006E5740" w:rsidRDefault="004B6798" w:rsidP="00CA4CC8">
      <w:pPr>
        <w:pStyle w:val="ListParagraph"/>
        <w:spacing w:line="240" w:lineRule="auto"/>
        <w:jc w:val="both"/>
        <w:rPr>
          <w:rFonts w:eastAsia="Times New Roman" w:cstheme="minorHAnsi"/>
          <w:sz w:val="24"/>
          <w:szCs w:val="24"/>
          <w:lang w:val="en-GB"/>
        </w:rPr>
      </w:pPr>
      <w:r w:rsidRPr="006E5740">
        <w:rPr>
          <w:rFonts w:eastAsia="Times New Roman" w:cstheme="minorHAnsi"/>
          <w:sz w:val="24"/>
          <w:szCs w:val="24"/>
          <w:lang w:val="en-GB"/>
        </w:rPr>
        <w:t>School population x Step 4</w:t>
      </w:r>
    </w:p>
    <w:p w:rsidR="00FC7B9D" w:rsidRPr="006E5740" w:rsidRDefault="004B6798" w:rsidP="00FC7B9D">
      <w:pPr>
        <w:pStyle w:val="ListParagraph"/>
        <w:numPr>
          <w:ilvl w:val="0"/>
          <w:numId w:val="21"/>
        </w:numPr>
        <w:spacing w:line="240" w:lineRule="auto"/>
        <w:jc w:val="both"/>
        <w:rPr>
          <w:rFonts w:eastAsia="Times New Roman" w:cstheme="minorHAnsi"/>
          <w:sz w:val="24"/>
          <w:szCs w:val="24"/>
          <w:lang w:val="en-GB"/>
        </w:rPr>
      </w:pPr>
      <w:r w:rsidRPr="006E5740">
        <w:rPr>
          <w:rFonts w:eastAsia="Times New Roman" w:cstheme="minorHAnsi"/>
          <w:sz w:val="24"/>
          <w:szCs w:val="24"/>
          <w:lang w:val="en-GB"/>
        </w:rPr>
        <w:t>Step 6: Total UPE budget per school</w:t>
      </w:r>
    </w:p>
    <w:p w:rsidR="004B6798" w:rsidRPr="006E5740" w:rsidRDefault="004B6798" w:rsidP="00CA4CC8">
      <w:pPr>
        <w:pStyle w:val="ListParagraph"/>
        <w:spacing w:line="240" w:lineRule="auto"/>
        <w:jc w:val="both"/>
        <w:rPr>
          <w:rFonts w:eastAsia="Times New Roman" w:cstheme="minorHAnsi"/>
          <w:sz w:val="24"/>
          <w:szCs w:val="24"/>
          <w:lang w:val="en-GB"/>
        </w:rPr>
      </w:pPr>
      <w:r w:rsidRPr="006E5740">
        <w:rPr>
          <w:rFonts w:eastAsia="Times New Roman" w:cstheme="minorHAnsi"/>
          <w:sz w:val="24"/>
          <w:szCs w:val="24"/>
          <w:lang w:val="en-GB"/>
        </w:rPr>
        <w:t>Threshold + Variable per school (1,350,000 + Step 5)</w:t>
      </w:r>
    </w:p>
    <w:p w:rsidR="00BB62F1" w:rsidRPr="006E5740" w:rsidRDefault="00BB62F1" w:rsidP="00BB62F1">
      <w:pPr>
        <w:pStyle w:val="ListParagraph"/>
        <w:spacing w:line="240" w:lineRule="auto"/>
        <w:jc w:val="both"/>
        <w:rPr>
          <w:rFonts w:eastAsia="Times New Roman" w:cstheme="minorHAnsi"/>
          <w:sz w:val="24"/>
          <w:szCs w:val="24"/>
          <w:lang w:val="en-GB"/>
        </w:rPr>
      </w:pPr>
    </w:p>
    <w:p w:rsidR="00FC7B9D" w:rsidRPr="006E5740" w:rsidRDefault="00FC7B9D" w:rsidP="004B6798">
      <w:pPr>
        <w:keepNext/>
        <w:keepLines/>
        <w:spacing w:before="40" w:after="0" w:line="240" w:lineRule="auto"/>
        <w:jc w:val="both"/>
        <w:outlineLvl w:val="2"/>
        <w:rPr>
          <w:rFonts w:eastAsia="Times New Roman" w:cstheme="minorHAnsi"/>
          <w:sz w:val="24"/>
          <w:szCs w:val="24"/>
          <w:lang w:val="en-GB"/>
        </w:rPr>
      </w:pPr>
      <w:r w:rsidRPr="006E5740">
        <w:rPr>
          <w:rFonts w:eastAsia="Times New Roman" w:cstheme="minorHAnsi"/>
          <w:b/>
          <w:sz w:val="24"/>
          <w:szCs w:val="24"/>
          <w:lang w:val="en-GB"/>
        </w:rPr>
        <w:t>2.5.2. USE/UPOLET</w:t>
      </w:r>
      <w:r w:rsidR="004B6798" w:rsidRPr="006E5740">
        <w:rPr>
          <w:rFonts w:eastAsia="Times New Roman" w:cstheme="minorHAnsi"/>
          <w:sz w:val="24"/>
          <w:szCs w:val="24"/>
          <w:lang w:val="en-GB"/>
        </w:rPr>
        <w:t xml:space="preserve">: </w:t>
      </w:r>
    </w:p>
    <w:p w:rsidR="004B6798" w:rsidRPr="006E5740" w:rsidRDefault="004B6798" w:rsidP="004B6798">
      <w:pPr>
        <w:keepNext/>
        <w:keepLines/>
        <w:spacing w:before="40" w:after="0" w:line="240" w:lineRule="auto"/>
        <w:jc w:val="both"/>
        <w:outlineLvl w:val="2"/>
        <w:rPr>
          <w:rFonts w:eastAsia="Times New Roman" w:cstheme="minorHAnsi"/>
          <w:sz w:val="24"/>
          <w:szCs w:val="24"/>
          <w:lang w:val="en-GB"/>
        </w:rPr>
      </w:pPr>
      <w:r w:rsidRPr="006E5740">
        <w:rPr>
          <w:rFonts w:eastAsia="Times New Roman" w:cstheme="minorHAnsi"/>
          <w:sz w:val="24"/>
          <w:szCs w:val="24"/>
          <w:lang w:val="en-GB"/>
        </w:rPr>
        <w:t>Amounts per school should be determined on the basis of enrolment.</w:t>
      </w:r>
    </w:p>
    <w:p w:rsidR="00FC7B9D" w:rsidRPr="006E5740" w:rsidRDefault="004B6798" w:rsidP="00F703C9">
      <w:pPr>
        <w:pStyle w:val="ListParagraph"/>
        <w:keepNext/>
        <w:keepLines/>
        <w:numPr>
          <w:ilvl w:val="0"/>
          <w:numId w:val="22"/>
        </w:numPr>
        <w:spacing w:before="40" w:after="0" w:line="240" w:lineRule="auto"/>
        <w:ind w:left="360"/>
        <w:jc w:val="both"/>
        <w:outlineLvl w:val="2"/>
        <w:rPr>
          <w:rFonts w:eastAsia="Times New Roman" w:cstheme="minorHAnsi"/>
          <w:sz w:val="24"/>
          <w:szCs w:val="24"/>
          <w:lang w:val="en-GB"/>
        </w:rPr>
      </w:pPr>
      <w:r w:rsidRPr="006E5740">
        <w:rPr>
          <w:rFonts w:eastAsia="Times New Roman" w:cstheme="minorHAnsi"/>
          <w:sz w:val="24"/>
          <w:szCs w:val="24"/>
          <w:lang w:val="en-GB"/>
        </w:rPr>
        <w:t xml:space="preserve">UGX 41,000 for government schools and UGX 47,000 for </w:t>
      </w:r>
      <w:r w:rsidR="00F703C9">
        <w:rPr>
          <w:rFonts w:eastAsia="Times New Roman" w:cstheme="minorHAnsi"/>
          <w:sz w:val="24"/>
          <w:szCs w:val="24"/>
          <w:lang w:val="en-GB"/>
        </w:rPr>
        <w:t xml:space="preserve">Public </w:t>
      </w:r>
      <w:r w:rsidR="00F703C9" w:rsidRPr="006E5740">
        <w:rPr>
          <w:rFonts w:eastAsia="Times New Roman" w:cstheme="minorHAnsi"/>
          <w:sz w:val="24"/>
          <w:szCs w:val="24"/>
          <w:lang w:val="en-GB"/>
        </w:rPr>
        <w:t>Private Schools</w:t>
      </w:r>
      <w:r w:rsidRPr="006E5740">
        <w:rPr>
          <w:rFonts w:eastAsia="Times New Roman" w:cstheme="minorHAnsi"/>
          <w:sz w:val="24"/>
          <w:szCs w:val="24"/>
          <w:lang w:val="en-GB"/>
        </w:rPr>
        <w:t xml:space="preserve"> per term per student; </w:t>
      </w:r>
    </w:p>
    <w:p w:rsidR="00FC7B9D" w:rsidRPr="006E5740" w:rsidRDefault="00FC7B9D" w:rsidP="00F703C9">
      <w:pPr>
        <w:keepNext/>
        <w:keepLines/>
        <w:spacing w:before="40" w:after="0" w:line="240" w:lineRule="auto"/>
        <w:jc w:val="both"/>
        <w:outlineLvl w:val="2"/>
        <w:rPr>
          <w:rFonts w:eastAsia="Times New Roman" w:cstheme="minorHAnsi"/>
          <w:sz w:val="24"/>
          <w:szCs w:val="24"/>
          <w:lang w:val="en-GB"/>
        </w:rPr>
      </w:pPr>
    </w:p>
    <w:p w:rsidR="00FC7B9D" w:rsidRPr="006E5740" w:rsidRDefault="004B6798" w:rsidP="00F703C9">
      <w:pPr>
        <w:pStyle w:val="ListParagraph"/>
        <w:numPr>
          <w:ilvl w:val="0"/>
          <w:numId w:val="22"/>
        </w:numPr>
        <w:tabs>
          <w:tab w:val="left" w:pos="438"/>
        </w:tabs>
        <w:spacing w:after="0" w:line="240" w:lineRule="auto"/>
        <w:ind w:left="360"/>
        <w:jc w:val="both"/>
        <w:rPr>
          <w:rFonts w:cstheme="minorHAnsi"/>
          <w:sz w:val="24"/>
          <w:szCs w:val="24"/>
        </w:rPr>
      </w:pPr>
      <w:r w:rsidRPr="006E5740">
        <w:rPr>
          <w:rFonts w:eastAsia="Times New Roman" w:cstheme="minorHAnsi"/>
          <w:sz w:val="24"/>
          <w:szCs w:val="24"/>
          <w:lang w:val="en-GB"/>
        </w:rPr>
        <w:t xml:space="preserve">For A’ level, the unit costs are UGX 80,000 per student per term for government schools and UGX 85,000 per student per term for </w:t>
      </w:r>
      <w:r w:rsidR="004A5165">
        <w:rPr>
          <w:rFonts w:eastAsia="Times New Roman" w:cstheme="minorHAnsi"/>
          <w:sz w:val="24"/>
          <w:szCs w:val="24"/>
          <w:lang w:val="en-GB"/>
        </w:rPr>
        <w:t xml:space="preserve">Public </w:t>
      </w:r>
      <w:r w:rsidR="004A5165" w:rsidRPr="006E5740">
        <w:rPr>
          <w:rFonts w:eastAsia="Times New Roman" w:cstheme="minorHAnsi"/>
          <w:sz w:val="24"/>
          <w:szCs w:val="24"/>
          <w:lang w:val="en-GB"/>
        </w:rPr>
        <w:t>Private Schools</w:t>
      </w:r>
      <w:r w:rsidRPr="006E5740">
        <w:rPr>
          <w:rFonts w:eastAsia="Times New Roman" w:cstheme="minorHAnsi"/>
          <w:sz w:val="24"/>
          <w:szCs w:val="24"/>
          <w:lang w:val="en-GB"/>
        </w:rPr>
        <w:t>.</w:t>
      </w:r>
    </w:p>
    <w:p w:rsidR="00FC7B9D" w:rsidRPr="006E5740" w:rsidRDefault="00FC7B9D" w:rsidP="004B6798">
      <w:pPr>
        <w:tabs>
          <w:tab w:val="left" w:pos="438"/>
        </w:tabs>
        <w:spacing w:after="0" w:line="240" w:lineRule="auto"/>
        <w:jc w:val="both"/>
        <w:rPr>
          <w:rFonts w:cstheme="minorHAnsi"/>
          <w:sz w:val="24"/>
          <w:szCs w:val="24"/>
        </w:rPr>
      </w:pPr>
    </w:p>
    <w:p w:rsidR="00FC7B9D" w:rsidRPr="00F703C9" w:rsidRDefault="00FC7B9D" w:rsidP="00F703C9">
      <w:pPr>
        <w:keepNext/>
        <w:keepLines/>
        <w:spacing w:before="40" w:after="0" w:line="240" w:lineRule="auto"/>
        <w:jc w:val="both"/>
        <w:outlineLvl w:val="2"/>
        <w:rPr>
          <w:rFonts w:eastAsia="Times New Roman" w:cstheme="minorHAnsi"/>
          <w:sz w:val="24"/>
          <w:szCs w:val="24"/>
          <w:lang w:val="en-GB"/>
        </w:rPr>
      </w:pPr>
      <w:r w:rsidRPr="006E5740">
        <w:rPr>
          <w:rFonts w:eastAsia="Times New Roman" w:cstheme="minorHAnsi"/>
          <w:b/>
          <w:sz w:val="24"/>
          <w:szCs w:val="24"/>
          <w:lang w:val="en-GB"/>
        </w:rPr>
        <w:t>2.5.3. Inspection/ DEOs monitoring grant</w:t>
      </w:r>
      <w:r w:rsidRPr="006E5740">
        <w:rPr>
          <w:rFonts w:eastAsia="Times New Roman" w:cstheme="minorHAnsi"/>
          <w:sz w:val="24"/>
          <w:szCs w:val="24"/>
          <w:lang w:val="en-GB"/>
        </w:rPr>
        <w:t xml:space="preserve">: </w:t>
      </w:r>
    </w:p>
    <w:p w:rsidR="004B6798" w:rsidRPr="006E5740" w:rsidRDefault="004B6798" w:rsidP="004B6798">
      <w:pPr>
        <w:tabs>
          <w:tab w:val="left" w:pos="438"/>
        </w:tabs>
        <w:spacing w:after="0" w:line="240" w:lineRule="auto"/>
        <w:jc w:val="both"/>
        <w:rPr>
          <w:rFonts w:cstheme="minorHAnsi"/>
          <w:sz w:val="24"/>
          <w:szCs w:val="24"/>
        </w:rPr>
      </w:pPr>
      <w:r w:rsidRPr="006E5740">
        <w:rPr>
          <w:rFonts w:cstheme="minorHAnsi"/>
          <w:sz w:val="24"/>
          <w:szCs w:val="24"/>
        </w:rPr>
        <w:t>The total allocation to this output should reflect the following:</w:t>
      </w:r>
    </w:p>
    <w:p w:rsidR="00FC7B9D" w:rsidRPr="006E5740" w:rsidRDefault="00FC7B9D" w:rsidP="00FC7B9D">
      <w:pPr>
        <w:tabs>
          <w:tab w:val="left" w:pos="438"/>
        </w:tabs>
        <w:spacing w:after="0" w:line="240" w:lineRule="auto"/>
        <w:jc w:val="both"/>
        <w:rPr>
          <w:rFonts w:cstheme="minorHAnsi"/>
          <w:sz w:val="24"/>
          <w:szCs w:val="24"/>
        </w:rPr>
      </w:pPr>
    </w:p>
    <w:p w:rsidR="004B6798" w:rsidRPr="006E5740" w:rsidRDefault="004B6798" w:rsidP="00F703C9">
      <w:pPr>
        <w:pStyle w:val="ListParagraph"/>
        <w:numPr>
          <w:ilvl w:val="0"/>
          <w:numId w:val="23"/>
        </w:numPr>
        <w:tabs>
          <w:tab w:val="left" w:pos="438"/>
        </w:tabs>
        <w:spacing w:after="0" w:line="240" w:lineRule="auto"/>
        <w:ind w:left="360"/>
        <w:jc w:val="both"/>
        <w:rPr>
          <w:rFonts w:cstheme="minorHAnsi"/>
          <w:sz w:val="24"/>
          <w:szCs w:val="24"/>
        </w:rPr>
      </w:pPr>
      <w:r w:rsidRPr="006E5740">
        <w:rPr>
          <w:rFonts w:cstheme="minorHAnsi"/>
          <w:sz w:val="24"/>
          <w:szCs w:val="24"/>
        </w:rPr>
        <w:t>DEO monit</w:t>
      </w:r>
      <w:r w:rsidR="00CC0D66">
        <w:rPr>
          <w:rFonts w:cstheme="minorHAnsi"/>
          <w:sz w:val="24"/>
          <w:szCs w:val="24"/>
        </w:rPr>
        <w:t>oring 4.5m + 75,362*the number o</w:t>
      </w:r>
      <w:r w:rsidRPr="006E5740">
        <w:rPr>
          <w:rFonts w:cstheme="minorHAnsi"/>
          <w:sz w:val="24"/>
          <w:szCs w:val="24"/>
        </w:rPr>
        <w:t>f education institutions in a L</w:t>
      </w:r>
      <w:r w:rsidR="00FC7B9D" w:rsidRPr="006E5740">
        <w:rPr>
          <w:rFonts w:cstheme="minorHAnsi"/>
          <w:sz w:val="24"/>
          <w:szCs w:val="24"/>
        </w:rPr>
        <w:t xml:space="preserve">ocal </w:t>
      </w:r>
      <w:r w:rsidRPr="006E5740">
        <w:rPr>
          <w:rFonts w:cstheme="minorHAnsi"/>
          <w:sz w:val="24"/>
          <w:szCs w:val="24"/>
        </w:rPr>
        <w:t>G</w:t>
      </w:r>
      <w:r w:rsidR="00FC7B9D" w:rsidRPr="006E5740">
        <w:rPr>
          <w:rFonts w:cstheme="minorHAnsi"/>
          <w:sz w:val="24"/>
          <w:szCs w:val="24"/>
        </w:rPr>
        <w:t>overnment (primary, secondary, both government and private).</w:t>
      </w:r>
    </w:p>
    <w:p w:rsidR="00FC7B9D" w:rsidRPr="006E5740" w:rsidRDefault="00FC7B9D" w:rsidP="00F703C9">
      <w:pPr>
        <w:tabs>
          <w:tab w:val="left" w:pos="438"/>
        </w:tabs>
        <w:spacing w:after="0" w:line="240" w:lineRule="auto"/>
        <w:jc w:val="both"/>
        <w:rPr>
          <w:rFonts w:cstheme="minorHAnsi"/>
          <w:sz w:val="24"/>
          <w:szCs w:val="24"/>
        </w:rPr>
      </w:pPr>
    </w:p>
    <w:p w:rsidR="004B6798" w:rsidRPr="006E5740" w:rsidRDefault="00CC0D66" w:rsidP="00F703C9">
      <w:pPr>
        <w:pStyle w:val="ListParagraph"/>
        <w:numPr>
          <w:ilvl w:val="0"/>
          <w:numId w:val="23"/>
        </w:numPr>
        <w:tabs>
          <w:tab w:val="left" w:pos="438"/>
        </w:tabs>
        <w:spacing w:after="0" w:line="240" w:lineRule="auto"/>
        <w:ind w:left="360"/>
        <w:jc w:val="both"/>
        <w:rPr>
          <w:rFonts w:cstheme="minorHAnsi"/>
          <w:sz w:val="24"/>
          <w:szCs w:val="24"/>
        </w:rPr>
      </w:pPr>
      <w:r w:rsidRPr="006E5740">
        <w:rPr>
          <w:rFonts w:cstheme="minorHAnsi"/>
          <w:sz w:val="24"/>
          <w:szCs w:val="24"/>
        </w:rPr>
        <w:t>Inspection grant</w:t>
      </w:r>
      <w:r w:rsidR="004B6798" w:rsidRPr="006E5740">
        <w:rPr>
          <w:rFonts w:cstheme="minorHAnsi"/>
          <w:sz w:val="24"/>
          <w:szCs w:val="24"/>
        </w:rPr>
        <w:t xml:space="preserve"> UGX 4m + UGX 93,439 * the number of education institutions in a L</w:t>
      </w:r>
      <w:r w:rsidR="00FC7B9D" w:rsidRPr="006E5740">
        <w:rPr>
          <w:rFonts w:cstheme="minorHAnsi"/>
          <w:sz w:val="24"/>
          <w:szCs w:val="24"/>
        </w:rPr>
        <w:t xml:space="preserve">ocal </w:t>
      </w:r>
      <w:r w:rsidR="004B6798" w:rsidRPr="006E5740">
        <w:rPr>
          <w:rFonts w:cstheme="minorHAnsi"/>
          <w:sz w:val="24"/>
          <w:szCs w:val="24"/>
        </w:rPr>
        <w:t>G</w:t>
      </w:r>
      <w:r w:rsidR="00FC7B9D" w:rsidRPr="006E5740">
        <w:rPr>
          <w:rFonts w:cstheme="minorHAnsi"/>
          <w:sz w:val="24"/>
          <w:szCs w:val="24"/>
        </w:rPr>
        <w:t>overnment.</w:t>
      </w:r>
    </w:p>
    <w:p w:rsidR="00FC7B9D" w:rsidRPr="006E5740" w:rsidRDefault="00FC7B9D" w:rsidP="00F703C9">
      <w:pPr>
        <w:tabs>
          <w:tab w:val="left" w:pos="438"/>
        </w:tabs>
        <w:spacing w:after="0" w:line="240" w:lineRule="auto"/>
        <w:jc w:val="both"/>
        <w:rPr>
          <w:rFonts w:cstheme="minorHAnsi"/>
          <w:sz w:val="24"/>
          <w:szCs w:val="24"/>
        </w:rPr>
      </w:pPr>
    </w:p>
    <w:p w:rsidR="004B6798" w:rsidRPr="006E5740" w:rsidRDefault="004B6798" w:rsidP="00F703C9">
      <w:pPr>
        <w:pStyle w:val="ListParagraph"/>
        <w:numPr>
          <w:ilvl w:val="0"/>
          <w:numId w:val="23"/>
        </w:numPr>
        <w:tabs>
          <w:tab w:val="left" w:pos="438"/>
        </w:tabs>
        <w:spacing w:after="0" w:line="240" w:lineRule="auto"/>
        <w:ind w:left="360"/>
        <w:jc w:val="both"/>
        <w:rPr>
          <w:rFonts w:cstheme="minorHAnsi"/>
          <w:sz w:val="24"/>
          <w:szCs w:val="24"/>
        </w:rPr>
      </w:pPr>
      <w:r w:rsidRPr="006E5740">
        <w:rPr>
          <w:rFonts w:cstheme="minorHAnsi"/>
          <w:sz w:val="24"/>
          <w:szCs w:val="24"/>
        </w:rPr>
        <w:t>Local Governments in Hard to Reach/Hard to Stay areas (including Buvuma, Kalangala and Moroto) should allocate UGX 20m above this minimum threshold for both the Education Office and Inspection.</w:t>
      </w:r>
    </w:p>
    <w:p w:rsidR="00FC7B9D" w:rsidRPr="006E5740" w:rsidRDefault="00FC7B9D" w:rsidP="00FC7B9D">
      <w:pPr>
        <w:pStyle w:val="ListParagraph"/>
        <w:rPr>
          <w:rFonts w:cstheme="minorHAnsi"/>
          <w:sz w:val="24"/>
          <w:szCs w:val="24"/>
        </w:rPr>
      </w:pPr>
    </w:p>
    <w:p w:rsidR="00FC7B9D" w:rsidRPr="00F703C9" w:rsidRDefault="00CD69C9" w:rsidP="00F703C9">
      <w:pPr>
        <w:keepNext/>
        <w:keepLines/>
        <w:spacing w:before="40" w:after="0" w:line="240" w:lineRule="auto"/>
        <w:jc w:val="both"/>
        <w:outlineLvl w:val="2"/>
        <w:rPr>
          <w:rFonts w:eastAsia="Times New Roman" w:cstheme="minorHAnsi"/>
          <w:sz w:val="24"/>
          <w:szCs w:val="24"/>
          <w:lang w:val="en-GB"/>
        </w:rPr>
      </w:pPr>
      <w:r w:rsidRPr="006E5740">
        <w:rPr>
          <w:rFonts w:eastAsia="Times New Roman" w:cstheme="minorHAnsi"/>
          <w:b/>
          <w:sz w:val="24"/>
          <w:szCs w:val="24"/>
          <w:lang w:val="en-GB"/>
        </w:rPr>
        <w:t>2.5.4</w:t>
      </w:r>
      <w:r w:rsidR="00FC7B9D" w:rsidRPr="006E5740">
        <w:rPr>
          <w:rFonts w:eastAsia="Times New Roman" w:cstheme="minorHAnsi"/>
          <w:b/>
          <w:sz w:val="24"/>
          <w:szCs w:val="24"/>
          <w:lang w:val="en-GB"/>
        </w:rPr>
        <w:t xml:space="preserve">. </w:t>
      </w:r>
      <w:r w:rsidRPr="006E5740">
        <w:rPr>
          <w:rFonts w:eastAsia="Times New Roman" w:cstheme="minorHAnsi"/>
          <w:b/>
          <w:sz w:val="24"/>
          <w:szCs w:val="24"/>
          <w:lang w:val="en-GB"/>
        </w:rPr>
        <w:t>Consolidated Development grant</w:t>
      </w:r>
      <w:r w:rsidR="00FC7B9D" w:rsidRPr="006E5740">
        <w:rPr>
          <w:rFonts w:eastAsia="Times New Roman" w:cstheme="minorHAnsi"/>
          <w:sz w:val="24"/>
          <w:szCs w:val="24"/>
          <w:lang w:val="en-GB"/>
        </w:rPr>
        <w:t xml:space="preserve">: </w:t>
      </w:r>
    </w:p>
    <w:p w:rsidR="00CD69C9" w:rsidRPr="006E5740" w:rsidRDefault="00CD69C9" w:rsidP="00CD69C9">
      <w:pPr>
        <w:pStyle w:val="ListParagraph"/>
        <w:ind w:left="0"/>
        <w:rPr>
          <w:rFonts w:cstheme="minorHAnsi"/>
          <w:sz w:val="24"/>
          <w:szCs w:val="24"/>
        </w:rPr>
      </w:pPr>
      <w:r w:rsidRPr="006E5740">
        <w:rPr>
          <w:rFonts w:cstheme="minorHAnsi"/>
          <w:sz w:val="24"/>
          <w:szCs w:val="24"/>
        </w:rPr>
        <w:t>At least 80% of development budget will be used for capital investments, to fund rehabilitation or construction of service delivery or administrative infrastructure. Priority should be accorded as guided below:</w:t>
      </w:r>
    </w:p>
    <w:p w:rsidR="00CD69C9" w:rsidRPr="006E5740" w:rsidRDefault="00CD69C9" w:rsidP="00CD69C9">
      <w:pPr>
        <w:pStyle w:val="ListParagraph"/>
        <w:numPr>
          <w:ilvl w:val="0"/>
          <w:numId w:val="27"/>
        </w:numPr>
        <w:tabs>
          <w:tab w:val="left" w:pos="438"/>
        </w:tabs>
        <w:spacing w:after="0" w:line="240" w:lineRule="auto"/>
        <w:jc w:val="both"/>
        <w:rPr>
          <w:rFonts w:cstheme="minorHAnsi"/>
          <w:sz w:val="24"/>
          <w:szCs w:val="24"/>
        </w:rPr>
      </w:pPr>
      <w:r w:rsidRPr="006E5740">
        <w:rPr>
          <w:rFonts w:cstheme="minorHAnsi"/>
          <w:sz w:val="24"/>
          <w:szCs w:val="24"/>
        </w:rPr>
        <w:t xml:space="preserve">Priority 1:  Completion of minimum school facility requirements where existing schools do not have the minimum level of functional facilities and equipment for primary schools, as listed in the schedule by the Ministry.  </w:t>
      </w:r>
    </w:p>
    <w:p w:rsidR="00CD69C9" w:rsidRPr="006E5740" w:rsidRDefault="00CD69C9" w:rsidP="00CD69C9">
      <w:pPr>
        <w:pStyle w:val="ListParagraph"/>
        <w:numPr>
          <w:ilvl w:val="0"/>
          <w:numId w:val="27"/>
        </w:numPr>
        <w:tabs>
          <w:tab w:val="left" w:pos="438"/>
        </w:tabs>
        <w:spacing w:after="0" w:line="240" w:lineRule="auto"/>
        <w:jc w:val="both"/>
        <w:rPr>
          <w:rFonts w:cstheme="minorHAnsi"/>
          <w:sz w:val="24"/>
          <w:szCs w:val="24"/>
        </w:rPr>
      </w:pPr>
      <w:r w:rsidRPr="006E5740">
        <w:rPr>
          <w:rFonts w:cstheme="minorHAnsi"/>
          <w:sz w:val="24"/>
          <w:szCs w:val="24"/>
        </w:rPr>
        <w:t xml:space="preserve">Priority 2: Completion of ongoing works to make facilities operational. </w:t>
      </w:r>
    </w:p>
    <w:p w:rsidR="00FC7B9D" w:rsidRPr="006E5740" w:rsidRDefault="00CD69C9" w:rsidP="00CD69C9">
      <w:pPr>
        <w:pStyle w:val="ListParagraph"/>
        <w:numPr>
          <w:ilvl w:val="0"/>
          <w:numId w:val="27"/>
        </w:numPr>
        <w:tabs>
          <w:tab w:val="left" w:pos="438"/>
        </w:tabs>
        <w:spacing w:after="0" w:line="240" w:lineRule="auto"/>
        <w:jc w:val="both"/>
        <w:rPr>
          <w:rFonts w:cstheme="minorHAnsi"/>
          <w:sz w:val="24"/>
          <w:szCs w:val="24"/>
        </w:rPr>
      </w:pPr>
      <w:r w:rsidRPr="006E5740">
        <w:rPr>
          <w:rFonts w:cstheme="minorHAnsi"/>
          <w:sz w:val="24"/>
          <w:szCs w:val="24"/>
        </w:rPr>
        <w:lastRenderedPageBreak/>
        <w:t>Priority 3: Construction of new facilities in parishes with without primary schools/ sub counties without secondary schools</w:t>
      </w:r>
    </w:p>
    <w:p w:rsidR="004B6798" w:rsidRPr="006E5740" w:rsidRDefault="004B6798" w:rsidP="008A4475">
      <w:pPr>
        <w:ind w:left="360"/>
        <w:rPr>
          <w:rFonts w:cstheme="minorHAnsi"/>
          <w:b/>
          <w:sz w:val="24"/>
          <w:szCs w:val="24"/>
          <w:lang w:val="en-GB"/>
        </w:rPr>
      </w:pPr>
    </w:p>
    <w:p w:rsidR="004B3D87" w:rsidRPr="006E5740" w:rsidRDefault="008A4475" w:rsidP="00CD69C9">
      <w:pPr>
        <w:rPr>
          <w:rFonts w:cstheme="minorHAnsi"/>
          <w:sz w:val="24"/>
          <w:szCs w:val="24"/>
          <w:lang w:val="en-GB"/>
        </w:rPr>
      </w:pPr>
      <w:r w:rsidRPr="006E5740">
        <w:rPr>
          <w:rFonts w:cstheme="minorHAnsi"/>
          <w:b/>
          <w:sz w:val="24"/>
          <w:szCs w:val="24"/>
          <w:lang w:val="en-GB"/>
        </w:rPr>
        <w:t>2.6</w:t>
      </w:r>
      <w:r w:rsidR="00CC0D66" w:rsidRPr="006E5740">
        <w:rPr>
          <w:rFonts w:cstheme="minorHAnsi"/>
          <w:b/>
          <w:sz w:val="24"/>
          <w:szCs w:val="24"/>
          <w:lang w:val="en-GB"/>
        </w:rPr>
        <w:t>. Other</w:t>
      </w:r>
      <w:r w:rsidR="00BB62F1" w:rsidRPr="006E5740">
        <w:rPr>
          <w:rFonts w:cstheme="minorHAnsi"/>
          <w:b/>
          <w:sz w:val="24"/>
          <w:szCs w:val="24"/>
          <w:lang w:val="en-GB"/>
        </w:rPr>
        <w:t xml:space="preserve"> Sector Issues</w:t>
      </w:r>
    </w:p>
    <w:p w:rsidR="004B3D87" w:rsidRPr="006E5740" w:rsidRDefault="00BB62F1" w:rsidP="00CD69C9">
      <w:pPr>
        <w:pStyle w:val="ListParagraph"/>
        <w:numPr>
          <w:ilvl w:val="2"/>
          <w:numId w:val="32"/>
        </w:numPr>
        <w:rPr>
          <w:rFonts w:cstheme="minorHAnsi"/>
          <w:sz w:val="24"/>
          <w:szCs w:val="24"/>
          <w:lang w:val="en-GB"/>
        </w:rPr>
      </w:pPr>
      <w:r w:rsidRPr="006E5740">
        <w:rPr>
          <w:rFonts w:cstheme="minorHAnsi"/>
          <w:b/>
          <w:bCs/>
          <w:sz w:val="24"/>
          <w:szCs w:val="24"/>
          <w:lang w:val="en-GB"/>
        </w:rPr>
        <w:t>Inspection:</w:t>
      </w:r>
    </w:p>
    <w:p w:rsidR="00CD69C9" w:rsidRDefault="00CD69C9" w:rsidP="00B73EFE">
      <w:pPr>
        <w:jc w:val="both"/>
        <w:rPr>
          <w:rFonts w:cstheme="minorHAnsi"/>
          <w:sz w:val="24"/>
          <w:szCs w:val="24"/>
          <w:lang w:val="en-GB"/>
        </w:rPr>
      </w:pPr>
      <w:r w:rsidRPr="006E5740">
        <w:rPr>
          <w:rFonts w:cstheme="minorHAnsi"/>
          <w:sz w:val="24"/>
          <w:szCs w:val="24"/>
          <w:lang w:val="en-GB"/>
        </w:rPr>
        <w:t>Inspection accorded to Secondary Schools and BTVET schools is insufficient despite the fact that this is part of the mandate of both the DEO and Inspector. Funds are allocated and remitted on a Quarterly basis and it is important that monitoring is done and feedback provided.</w:t>
      </w:r>
    </w:p>
    <w:p w:rsidR="00F703C9" w:rsidRDefault="00AF2C73" w:rsidP="00B73EFE">
      <w:pPr>
        <w:jc w:val="both"/>
        <w:rPr>
          <w:rFonts w:cstheme="minorHAnsi"/>
          <w:sz w:val="24"/>
          <w:szCs w:val="24"/>
          <w:lang w:val="en-GB"/>
        </w:rPr>
      </w:pPr>
      <w:r>
        <w:rPr>
          <w:rFonts w:cstheme="minorHAnsi"/>
          <w:sz w:val="24"/>
          <w:szCs w:val="24"/>
          <w:lang w:val="en-GB"/>
        </w:rPr>
        <w:t>We are also made to understand that some districts combine DEOs’ facilitation fund and Inspection grant and yet these have different intended outputs. The role of a DEO is to check on what inspection has done in schools and hence verifies the inspector’s work and its impact on learning and general administration in the school. The two grants should therefore be programmed differently.</w:t>
      </w:r>
    </w:p>
    <w:p w:rsidR="00F703C9" w:rsidRPr="006E5740" w:rsidRDefault="00F703C9" w:rsidP="00B73EFE">
      <w:pPr>
        <w:jc w:val="both"/>
        <w:rPr>
          <w:rFonts w:cstheme="minorHAnsi"/>
          <w:sz w:val="24"/>
          <w:szCs w:val="24"/>
          <w:lang w:val="en-GB"/>
        </w:rPr>
      </w:pPr>
    </w:p>
    <w:p w:rsidR="004B3D87" w:rsidRPr="00B73EFE" w:rsidRDefault="00BB62F1" w:rsidP="00F703C9">
      <w:pPr>
        <w:pStyle w:val="ListParagraph"/>
        <w:numPr>
          <w:ilvl w:val="2"/>
          <w:numId w:val="32"/>
        </w:numPr>
        <w:spacing w:after="0"/>
        <w:rPr>
          <w:rFonts w:cstheme="minorHAnsi"/>
          <w:color w:val="000000" w:themeColor="text1"/>
          <w:sz w:val="24"/>
          <w:szCs w:val="24"/>
          <w:lang w:val="en-GB"/>
        </w:rPr>
      </w:pPr>
      <w:r w:rsidRPr="00B73EFE">
        <w:rPr>
          <w:rFonts w:cstheme="minorHAnsi"/>
          <w:b/>
          <w:bCs/>
          <w:color w:val="000000" w:themeColor="text1"/>
          <w:sz w:val="24"/>
          <w:szCs w:val="24"/>
          <w:lang w:val="en-GB"/>
        </w:rPr>
        <w:t>Payroll Management:</w:t>
      </w:r>
    </w:p>
    <w:p w:rsidR="00B73EFE" w:rsidRPr="00B73EFE" w:rsidRDefault="00CD69C9" w:rsidP="00CD69C9">
      <w:pPr>
        <w:jc w:val="both"/>
        <w:rPr>
          <w:rFonts w:cstheme="minorHAnsi"/>
          <w:color w:val="000000" w:themeColor="text1"/>
          <w:sz w:val="24"/>
          <w:szCs w:val="24"/>
          <w:lang w:val="en-GB"/>
        </w:rPr>
      </w:pPr>
      <w:r w:rsidRPr="00B73EFE">
        <w:rPr>
          <w:rFonts w:cstheme="minorHAnsi"/>
          <w:color w:val="000000" w:themeColor="text1"/>
          <w:sz w:val="24"/>
          <w:szCs w:val="24"/>
          <w:lang w:val="en-GB"/>
        </w:rPr>
        <w:t xml:space="preserve">Each year, the Secondary Department appoints new Teachers and transfers existing ones within Local Governments but sometimes, these officers take long to get onto the payroll and this causes frustration. It is important that </w:t>
      </w:r>
      <w:r w:rsidR="001A1B1C" w:rsidRPr="00B73EFE">
        <w:rPr>
          <w:rFonts w:cstheme="minorHAnsi"/>
          <w:color w:val="000000" w:themeColor="text1"/>
          <w:sz w:val="24"/>
          <w:szCs w:val="24"/>
          <w:lang w:val="en-GB"/>
        </w:rPr>
        <w:t>Accounting officers</w:t>
      </w:r>
      <w:r w:rsidRPr="00B73EFE">
        <w:rPr>
          <w:rFonts w:cstheme="minorHAnsi"/>
          <w:color w:val="000000" w:themeColor="text1"/>
          <w:sz w:val="24"/>
          <w:szCs w:val="24"/>
          <w:lang w:val="en-GB"/>
        </w:rPr>
        <w:t xml:space="preserve"> at the Local Governments liaise with the </w:t>
      </w:r>
      <w:r w:rsidR="001A1B1C" w:rsidRPr="00B73EFE">
        <w:rPr>
          <w:rFonts w:cstheme="minorHAnsi"/>
          <w:color w:val="000000" w:themeColor="text1"/>
          <w:sz w:val="24"/>
          <w:szCs w:val="24"/>
          <w:lang w:val="en-GB"/>
        </w:rPr>
        <w:t>Ministry</w:t>
      </w:r>
      <w:r w:rsidRPr="00B73EFE">
        <w:rPr>
          <w:rFonts w:cstheme="minorHAnsi"/>
          <w:color w:val="000000" w:themeColor="text1"/>
          <w:sz w:val="24"/>
          <w:szCs w:val="24"/>
          <w:lang w:val="en-GB"/>
        </w:rPr>
        <w:t xml:space="preserve"> to ensure that these officers immediately begin teaching.</w:t>
      </w:r>
    </w:p>
    <w:p w:rsidR="00B73EFE" w:rsidRPr="00B73EFE" w:rsidRDefault="00B73EFE" w:rsidP="00CD69C9">
      <w:pPr>
        <w:jc w:val="both"/>
        <w:rPr>
          <w:rFonts w:cstheme="minorHAnsi"/>
          <w:color w:val="000000" w:themeColor="text1"/>
          <w:sz w:val="24"/>
          <w:szCs w:val="24"/>
          <w:lang w:val="en-GB"/>
        </w:rPr>
      </w:pPr>
    </w:p>
    <w:p w:rsidR="00317028" w:rsidRPr="00B73EFE" w:rsidRDefault="00317028" w:rsidP="00317028">
      <w:pPr>
        <w:pStyle w:val="ListParagraph"/>
        <w:numPr>
          <w:ilvl w:val="2"/>
          <w:numId w:val="32"/>
        </w:numPr>
        <w:jc w:val="both"/>
        <w:rPr>
          <w:rFonts w:cstheme="minorHAnsi"/>
          <w:color w:val="000000" w:themeColor="text1"/>
          <w:sz w:val="24"/>
          <w:szCs w:val="24"/>
          <w:lang w:val="en-GB"/>
        </w:rPr>
      </w:pPr>
      <w:r w:rsidRPr="00B73EFE">
        <w:rPr>
          <w:rFonts w:cstheme="minorHAnsi"/>
          <w:b/>
          <w:bCs/>
          <w:color w:val="000000" w:themeColor="text1"/>
          <w:sz w:val="24"/>
          <w:szCs w:val="24"/>
          <w:lang w:val="en-GB"/>
        </w:rPr>
        <w:t>Deployment of Primary Teachers:</w:t>
      </w:r>
    </w:p>
    <w:p w:rsidR="00317028" w:rsidRPr="00B73EFE" w:rsidRDefault="00317028" w:rsidP="00317028">
      <w:pPr>
        <w:jc w:val="both"/>
        <w:rPr>
          <w:rFonts w:cstheme="minorHAnsi"/>
          <w:color w:val="000000" w:themeColor="text1"/>
          <w:sz w:val="24"/>
          <w:szCs w:val="24"/>
          <w:lang w:val="en-GB"/>
        </w:rPr>
      </w:pPr>
      <w:r w:rsidRPr="00B73EFE">
        <w:rPr>
          <w:rFonts w:cstheme="minorHAnsi"/>
          <w:color w:val="000000" w:themeColor="text1"/>
          <w:sz w:val="24"/>
          <w:szCs w:val="24"/>
          <w:lang w:val="en-GB"/>
        </w:rPr>
        <w:t>Supervision by the Ministry revealed that deployment of teachers in hard to reach areas and SNE schools is not properly done. The Ministry is cognizant of the fact the existing pool stock of SNE teachers is not sufficient to meet the required Pupil Teacher Ratio but it is important that these teachers are deployed rationally because some Primary schools are oversubscribed with teachers especially in the Urban and Peri-urban areas.</w:t>
      </w:r>
    </w:p>
    <w:p w:rsidR="00317028" w:rsidRPr="00B73EFE" w:rsidRDefault="00317028" w:rsidP="00317028">
      <w:pPr>
        <w:pStyle w:val="ListParagraph"/>
        <w:numPr>
          <w:ilvl w:val="2"/>
          <w:numId w:val="32"/>
        </w:numPr>
        <w:jc w:val="both"/>
        <w:rPr>
          <w:rFonts w:cstheme="minorHAnsi"/>
          <w:b/>
          <w:bCs/>
          <w:color w:val="000000" w:themeColor="text1"/>
          <w:sz w:val="24"/>
          <w:szCs w:val="24"/>
          <w:lang w:val="en-GB"/>
        </w:rPr>
      </w:pPr>
      <w:r w:rsidRPr="00B73EFE">
        <w:rPr>
          <w:rFonts w:cstheme="minorHAnsi"/>
          <w:b/>
          <w:bCs/>
          <w:color w:val="000000" w:themeColor="text1"/>
          <w:sz w:val="24"/>
          <w:szCs w:val="24"/>
          <w:lang w:val="en-GB"/>
        </w:rPr>
        <w:t>Transfer of Teachers:</w:t>
      </w:r>
    </w:p>
    <w:p w:rsidR="00317028" w:rsidRPr="00B73EFE" w:rsidRDefault="00317028" w:rsidP="00317028">
      <w:pPr>
        <w:pStyle w:val="ListParagraph"/>
        <w:ind w:left="0"/>
        <w:jc w:val="both"/>
        <w:rPr>
          <w:rFonts w:cstheme="minorHAnsi"/>
          <w:color w:val="000000" w:themeColor="text1"/>
          <w:sz w:val="24"/>
          <w:szCs w:val="24"/>
          <w:lang w:val="en-GB"/>
        </w:rPr>
      </w:pPr>
      <w:r w:rsidRPr="00B73EFE">
        <w:rPr>
          <w:rFonts w:cstheme="minorHAnsi"/>
          <w:color w:val="000000" w:themeColor="text1"/>
          <w:sz w:val="24"/>
          <w:szCs w:val="24"/>
          <w:lang w:val="en-GB"/>
        </w:rPr>
        <w:t>Transfer of teachers is conducted every end of year to enable them report to schools at the beginning of the academic year in February. However, teachers take long to report to their respective stations because of the need for accommodation which is normally lacking in several schools.</w:t>
      </w:r>
    </w:p>
    <w:p w:rsidR="00317028" w:rsidRPr="00B73EFE" w:rsidRDefault="00317028" w:rsidP="00317028">
      <w:pPr>
        <w:pStyle w:val="ListParagraph"/>
        <w:ind w:left="0"/>
        <w:jc w:val="both"/>
        <w:rPr>
          <w:rFonts w:cstheme="minorHAnsi"/>
          <w:color w:val="000000" w:themeColor="text1"/>
          <w:sz w:val="24"/>
          <w:szCs w:val="24"/>
          <w:lang w:val="en-GB"/>
        </w:rPr>
      </w:pPr>
    </w:p>
    <w:p w:rsidR="00317028" w:rsidRPr="00B73EFE" w:rsidRDefault="00317028" w:rsidP="00317028">
      <w:pPr>
        <w:pStyle w:val="ListParagraph"/>
        <w:ind w:left="0"/>
        <w:jc w:val="both"/>
        <w:rPr>
          <w:rFonts w:cstheme="minorHAnsi"/>
          <w:color w:val="000000" w:themeColor="text1"/>
          <w:sz w:val="24"/>
          <w:szCs w:val="24"/>
          <w:lang w:val="en-GB"/>
        </w:rPr>
      </w:pPr>
      <w:r w:rsidRPr="00B73EFE">
        <w:rPr>
          <w:rFonts w:cstheme="minorHAnsi"/>
          <w:color w:val="000000" w:themeColor="text1"/>
          <w:sz w:val="24"/>
          <w:szCs w:val="24"/>
          <w:lang w:val="en-GB"/>
        </w:rPr>
        <w:t>It should be noted that teachers who fail to raise adequate teaching load of 24 periods a week or those that are heavily underutilized can be transferred any time of the year.</w:t>
      </w:r>
    </w:p>
    <w:p w:rsidR="00317028" w:rsidRPr="00B73EFE" w:rsidRDefault="00317028" w:rsidP="00317028">
      <w:pPr>
        <w:pStyle w:val="ListParagraph"/>
        <w:ind w:left="0"/>
        <w:jc w:val="both"/>
        <w:rPr>
          <w:rFonts w:cstheme="minorHAnsi"/>
          <w:color w:val="000000" w:themeColor="text1"/>
          <w:sz w:val="24"/>
          <w:szCs w:val="24"/>
          <w:lang w:val="en-GB"/>
        </w:rPr>
      </w:pPr>
    </w:p>
    <w:p w:rsidR="00317028" w:rsidRPr="00B73EFE" w:rsidRDefault="00317028" w:rsidP="00317028">
      <w:pPr>
        <w:pStyle w:val="ListParagraph"/>
        <w:ind w:left="0"/>
        <w:jc w:val="both"/>
        <w:rPr>
          <w:color w:val="000000" w:themeColor="text1"/>
          <w:sz w:val="24"/>
          <w:szCs w:val="24"/>
          <w:lang w:val="en-GB"/>
        </w:rPr>
      </w:pPr>
      <w:r w:rsidRPr="00B73EFE">
        <w:rPr>
          <w:rFonts w:cstheme="minorHAnsi"/>
          <w:color w:val="000000" w:themeColor="text1"/>
          <w:sz w:val="24"/>
          <w:szCs w:val="24"/>
          <w:lang w:val="en-GB"/>
        </w:rPr>
        <w:lastRenderedPageBreak/>
        <w:t>The apportionment of the wage for secondary which was started in FY 2012/13 did not take into consideration school specific staffing needs yet their movement</w:t>
      </w:r>
      <w:r w:rsidRPr="00B73EFE">
        <w:rPr>
          <w:color w:val="000000" w:themeColor="text1"/>
          <w:sz w:val="24"/>
          <w:szCs w:val="24"/>
          <w:lang w:val="en-GB"/>
        </w:rPr>
        <w:t xml:space="preserve"> from one district to another has continued to create wage dislocations ac</w:t>
      </w:r>
      <w:r w:rsidR="00F703C9">
        <w:rPr>
          <w:color w:val="000000" w:themeColor="text1"/>
          <w:sz w:val="24"/>
          <w:szCs w:val="24"/>
          <w:lang w:val="en-GB"/>
        </w:rPr>
        <w:t>ross Local Governments. In a bid</w:t>
      </w:r>
      <w:r w:rsidRPr="00B73EFE">
        <w:rPr>
          <w:color w:val="000000" w:themeColor="text1"/>
          <w:sz w:val="24"/>
          <w:szCs w:val="24"/>
          <w:lang w:val="en-GB"/>
        </w:rPr>
        <w:t xml:space="preserve"> to address this challenge the Ministry has come up with transfer guidelines where all staff transfers will be handled in one batch on an in/out basis.</w:t>
      </w:r>
    </w:p>
    <w:p w:rsidR="00317028" w:rsidRPr="00B73EFE" w:rsidRDefault="00317028" w:rsidP="00317028">
      <w:pPr>
        <w:pStyle w:val="ListParagraph"/>
        <w:rPr>
          <w:rFonts w:ascii="Bookman Old Style" w:hAnsi="Bookman Old Style"/>
          <w:i/>
          <w:color w:val="000000" w:themeColor="text1"/>
          <w:sz w:val="24"/>
          <w:szCs w:val="19"/>
        </w:rPr>
      </w:pPr>
    </w:p>
    <w:p w:rsidR="00317028" w:rsidRPr="00F703C9" w:rsidRDefault="00317028" w:rsidP="00317028">
      <w:pPr>
        <w:pStyle w:val="ListParagraph"/>
        <w:numPr>
          <w:ilvl w:val="2"/>
          <w:numId w:val="32"/>
        </w:numPr>
        <w:spacing w:after="0"/>
        <w:jc w:val="both"/>
        <w:rPr>
          <w:b/>
          <w:bCs/>
          <w:color w:val="000000" w:themeColor="text1"/>
          <w:sz w:val="24"/>
          <w:szCs w:val="24"/>
          <w:lang w:val="en-GB"/>
        </w:rPr>
      </w:pPr>
      <w:r w:rsidRPr="00B73EFE">
        <w:rPr>
          <w:b/>
          <w:bCs/>
          <w:color w:val="000000" w:themeColor="text1"/>
          <w:sz w:val="24"/>
          <w:szCs w:val="24"/>
          <w:lang w:val="en-GB"/>
        </w:rPr>
        <w:t>Clarification on deployment of teachers</w:t>
      </w:r>
    </w:p>
    <w:p w:rsidR="00317028" w:rsidRPr="00B73EFE" w:rsidRDefault="00317028" w:rsidP="00F703C9">
      <w:pPr>
        <w:pStyle w:val="ListParagraph"/>
        <w:spacing w:after="0"/>
        <w:ind w:left="0"/>
        <w:jc w:val="both"/>
        <w:rPr>
          <w:color w:val="000000" w:themeColor="text1"/>
          <w:sz w:val="24"/>
          <w:szCs w:val="24"/>
          <w:lang w:val="en-GB"/>
        </w:rPr>
      </w:pPr>
      <w:r w:rsidRPr="00B73EFE">
        <w:rPr>
          <w:color w:val="000000" w:themeColor="text1"/>
          <w:sz w:val="24"/>
          <w:szCs w:val="24"/>
          <w:lang w:val="en-GB"/>
        </w:rPr>
        <w:t xml:space="preserve">The current staff establishment for secondary schools were determined way back in 2009 and was based on the number of subjects offered in a given school, its enrolment and category (‘O’ or A-Level). Therefore Local Governments with a big number of A-Level Schools would automatically have more teachers. </w:t>
      </w:r>
    </w:p>
    <w:p w:rsidR="00317028" w:rsidRPr="00B73EFE" w:rsidRDefault="00317028" w:rsidP="00317028">
      <w:pPr>
        <w:pStyle w:val="ListParagraph"/>
        <w:ind w:left="0"/>
        <w:jc w:val="both"/>
        <w:rPr>
          <w:color w:val="000000" w:themeColor="text1"/>
          <w:sz w:val="24"/>
          <w:szCs w:val="24"/>
          <w:lang w:val="en-GB"/>
        </w:rPr>
      </w:pPr>
    </w:p>
    <w:p w:rsidR="00317028" w:rsidRPr="00B73EFE" w:rsidRDefault="00317028" w:rsidP="00317028">
      <w:pPr>
        <w:pStyle w:val="ListParagraph"/>
        <w:ind w:left="0"/>
        <w:jc w:val="both"/>
        <w:rPr>
          <w:color w:val="000000" w:themeColor="text1"/>
          <w:sz w:val="24"/>
          <w:szCs w:val="24"/>
          <w:lang w:val="en-GB"/>
        </w:rPr>
      </w:pPr>
      <w:r w:rsidRPr="00B73EFE">
        <w:rPr>
          <w:color w:val="000000" w:themeColor="text1"/>
          <w:sz w:val="24"/>
          <w:szCs w:val="24"/>
          <w:lang w:val="en-GB"/>
        </w:rPr>
        <w:t>However some schools register declining student enrolments which create excess number of teachers. The sector is currently coming up with a rational teacher deployment formula that will address such inconsistencies which will take into consideration the school enrolment changes. This will further be made possible when the new curriculum is implemented that focuses on eight learning areas.</w:t>
      </w:r>
    </w:p>
    <w:p w:rsidR="00317028" w:rsidRPr="00B73EFE" w:rsidRDefault="00317028" w:rsidP="00317028">
      <w:pPr>
        <w:pStyle w:val="ListParagraph"/>
        <w:ind w:left="0"/>
        <w:jc w:val="both"/>
        <w:rPr>
          <w:color w:val="000000" w:themeColor="text1"/>
          <w:sz w:val="24"/>
          <w:szCs w:val="24"/>
          <w:lang w:val="en-GB"/>
        </w:rPr>
      </w:pPr>
    </w:p>
    <w:p w:rsidR="00CD69C9" w:rsidRPr="00B73EFE" w:rsidRDefault="00317028" w:rsidP="00B73EFE">
      <w:pPr>
        <w:pStyle w:val="ListParagraph"/>
        <w:ind w:left="0"/>
        <w:jc w:val="both"/>
        <w:rPr>
          <w:color w:val="000000" w:themeColor="text1"/>
          <w:sz w:val="24"/>
          <w:szCs w:val="24"/>
          <w:lang w:val="en-GB"/>
        </w:rPr>
      </w:pPr>
      <w:r w:rsidRPr="00B73EFE">
        <w:rPr>
          <w:color w:val="000000" w:themeColor="text1"/>
          <w:sz w:val="24"/>
          <w:szCs w:val="24"/>
          <w:lang w:val="en-GB"/>
        </w:rPr>
        <w:t>Transferring of graduate teachers and replaced with grade five teachers cannot happen as each school has designated vacancies for graduates and grade five teachers.</w:t>
      </w:r>
    </w:p>
    <w:p w:rsidR="00B73EFE" w:rsidRPr="00B73EFE" w:rsidRDefault="00B73EFE" w:rsidP="00B73EFE">
      <w:pPr>
        <w:pStyle w:val="ListParagraph"/>
        <w:ind w:left="0"/>
        <w:jc w:val="both"/>
        <w:rPr>
          <w:color w:val="000000" w:themeColor="text1"/>
          <w:sz w:val="24"/>
          <w:szCs w:val="24"/>
          <w:lang w:val="en-GB"/>
        </w:rPr>
      </w:pPr>
    </w:p>
    <w:p w:rsidR="004B3D87" w:rsidRPr="00B73EFE" w:rsidRDefault="001A1B1C" w:rsidP="00F703C9">
      <w:pPr>
        <w:pStyle w:val="ListParagraph"/>
        <w:numPr>
          <w:ilvl w:val="2"/>
          <w:numId w:val="32"/>
        </w:numPr>
        <w:spacing w:after="0"/>
        <w:rPr>
          <w:rFonts w:cstheme="minorHAnsi"/>
          <w:color w:val="000000" w:themeColor="text1"/>
          <w:sz w:val="24"/>
          <w:szCs w:val="24"/>
          <w:lang w:val="en-GB"/>
        </w:rPr>
      </w:pPr>
      <w:r w:rsidRPr="00B73EFE">
        <w:rPr>
          <w:rFonts w:cstheme="minorHAnsi"/>
          <w:b/>
          <w:bCs/>
          <w:color w:val="000000" w:themeColor="text1"/>
          <w:sz w:val="24"/>
          <w:szCs w:val="24"/>
          <w:lang w:val="en-GB"/>
        </w:rPr>
        <w:t>Ghost Teachers</w:t>
      </w:r>
      <w:r w:rsidR="00BB62F1" w:rsidRPr="00B73EFE">
        <w:rPr>
          <w:rFonts w:cstheme="minorHAnsi"/>
          <w:b/>
          <w:bCs/>
          <w:color w:val="000000" w:themeColor="text1"/>
          <w:sz w:val="24"/>
          <w:szCs w:val="24"/>
          <w:lang w:val="en-GB"/>
        </w:rPr>
        <w:t>:</w:t>
      </w:r>
    </w:p>
    <w:p w:rsidR="001F4998" w:rsidRPr="00B73EFE" w:rsidRDefault="00CD69C9" w:rsidP="001F4998">
      <w:pPr>
        <w:jc w:val="both"/>
        <w:rPr>
          <w:rFonts w:cstheme="minorHAnsi"/>
          <w:color w:val="000000" w:themeColor="text1"/>
          <w:sz w:val="24"/>
          <w:szCs w:val="24"/>
          <w:lang w:val="en-GB"/>
        </w:rPr>
      </w:pPr>
      <w:r w:rsidRPr="00B73EFE">
        <w:rPr>
          <w:rFonts w:cstheme="minorHAnsi"/>
          <w:color w:val="000000" w:themeColor="text1"/>
          <w:sz w:val="24"/>
          <w:szCs w:val="24"/>
          <w:lang w:val="en-GB"/>
        </w:rPr>
        <w:t xml:space="preserve">The Ministry is registering a growing trend of teachers showing up for verification with forged/ fake deployment letters. It is therefore important that </w:t>
      </w:r>
      <w:r w:rsidR="001A1B1C" w:rsidRPr="00B73EFE">
        <w:rPr>
          <w:rFonts w:cstheme="minorHAnsi"/>
          <w:color w:val="000000" w:themeColor="text1"/>
          <w:sz w:val="24"/>
          <w:szCs w:val="24"/>
          <w:lang w:val="en-GB"/>
        </w:rPr>
        <w:t xml:space="preserve">Accounting </w:t>
      </w:r>
      <w:r w:rsidRPr="00B73EFE">
        <w:rPr>
          <w:rFonts w:cstheme="minorHAnsi"/>
          <w:color w:val="000000" w:themeColor="text1"/>
          <w:sz w:val="24"/>
          <w:szCs w:val="24"/>
          <w:lang w:val="en-GB"/>
        </w:rPr>
        <w:t xml:space="preserve"> officers at the District offices thoroughly assess documents by these teachers before onward submission to the Ministry. </w:t>
      </w:r>
    </w:p>
    <w:p w:rsidR="004B3D87" w:rsidRPr="00B73EFE" w:rsidRDefault="00BB62F1" w:rsidP="001F4998">
      <w:pPr>
        <w:pStyle w:val="ListParagraph"/>
        <w:numPr>
          <w:ilvl w:val="2"/>
          <w:numId w:val="32"/>
        </w:numPr>
        <w:jc w:val="both"/>
        <w:rPr>
          <w:rFonts w:cstheme="minorHAnsi"/>
          <w:color w:val="000000" w:themeColor="text1"/>
          <w:sz w:val="24"/>
          <w:szCs w:val="24"/>
          <w:lang w:val="en-GB"/>
        </w:rPr>
      </w:pPr>
      <w:r w:rsidRPr="00B73EFE">
        <w:rPr>
          <w:rFonts w:cstheme="minorHAnsi"/>
          <w:b/>
          <w:bCs/>
          <w:color w:val="000000" w:themeColor="text1"/>
          <w:sz w:val="24"/>
          <w:szCs w:val="24"/>
          <w:lang w:val="en-GB"/>
        </w:rPr>
        <w:t>Update of Private Schools List:</w:t>
      </w:r>
    </w:p>
    <w:p w:rsidR="001A1B1C" w:rsidRPr="006E5740" w:rsidRDefault="001A1B1C" w:rsidP="001F4998">
      <w:pPr>
        <w:jc w:val="both"/>
        <w:rPr>
          <w:rFonts w:cstheme="minorHAnsi"/>
          <w:sz w:val="24"/>
          <w:szCs w:val="24"/>
          <w:lang w:val="en-GB"/>
        </w:rPr>
      </w:pPr>
      <w:r w:rsidRPr="00B73EFE">
        <w:rPr>
          <w:rFonts w:cstheme="minorHAnsi"/>
          <w:color w:val="000000" w:themeColor="text1"/>
          <w:sz w:val="24"/>
          <w:szCs w:val="24"/>
          <w:lang w:val="en-GB"/>
        </w:rPr>
        <w:t>The Ministry has noted that, whereas, EMIS</w:t>
      </w:r>
      <w:r>
        <w:rPr>
          <w:rFonts w:cstheme="minorHAnsi"/>
          <w:sz w:val="24"/>
          <w:szCs w:val="24"/>
          <w:lang w:val="en-GB"/>
        </w:rPr>
        <w:t xml:space="preserve"> forms are issued for data collection from both Public and Private Institutions, the response rate from Private Institutions is very low and Accounting Officers are requested to enforce this to ensure that the list of Private schools is updated.</w:t>
      </w:r>
    </w:p>
    <w:p w:rsidR="00976CC3" w:rsidRPr="00976CC3" w:rsidRDefault="00BB62F1" w:rsidP="00976CC3">
      <w:pPr>
        <w:pStyle w:val="ListParagraph"/>
        <w:numPr>
          <w:ilvl w:val="2"/>
          <w:numId w:val="32"/>
        </w:numPr>
        <w:jc w:val="both"/>
        <w:rPr>
          <w:rFonts w:cstheme="minorHAnsi"/>
          <w:sz w:val="24"/>
          <w:szCs w:val="24"/>
          <w:lang w:val="en-GB"/>
        </w:rPr>
      </w:pPr>
      <w:r w:rsidRPr="006E5740">
        <w:rPr>
          <w:rFonts w:cstheme="minorHAnsi"/>
          <w:b/>
          <w:bCs/>
          <w:sz w:val="24"/>
          <w:szCs w:val="24"/>
          <w:lang w:val="en-GB"/>
        </w:rPr>
        <w:t>Sanitation in Primary and Secondary Schools:</w:t>
      </w:r>
    </w:p>
    <w:p w:rsidR="001F4998" w:rsidRDefault="001F4998" w:rsidP="00B73EFE">
      <w:pPr>
        <w:pStyle w:val="ListParagraph"/>
        <w:ind w:left="0"/>
        <w:jc w:val="both"/>
        <w:rPr>
          <w:rFonts w:cstheme="minorHAnsi"/>
          <w:sz w:val="24"/>
          <w:szCs w:val="24"/>
          <w:lang w:val="en-GB"/>
        </w:rPr>
      </w:pPr>
      <w:r w:rsidRPr="00976CC3">
        <w:rPr>
          <w:rFonts w:cstheme="minorHAnsi"/>
          <w:sz w:val="24"/>
          <w:szCs w:val="24"/>
          <w:lang w:val="en-GB"/>
        </w:rPr>
        <w:t xml:space="preserve">Statistics show that the Pupil Stance Ratio and Student Stance Ratios are still high which a cause for concern is. Local Governments are therefore </w:t>
      </w:r>
      <w:r w:rsidR="00976CC3">
        <w:rPr>
          <w:rFonts w:cstheme="minorHAnsi"/>
          <w:sz w:val="24"/>
          <w:szCs w:val="24"/>
          <w:lang w:val="en-GB"/>
        </w:rPr>
        <w:t>urged</w:t>
      </w:r>
      <w:r w:rsidRPr="00976CC3">
        <w:rPr>
          <w:rFonts w:cstheme="minorHAnsi"/>
          <w:sz w:val="24"/>
          <w:szCs w:val="24"/>
          <w:lang w:val="en-GB"/>
        </w:rPr>
        <w:t xml:space="preserve"> to prioritise </w:t>
      </w:r>
      <w:r w:rsidR="00976CC3">
        <w:rPr>
          <w:rFonts w:cstheme="minorHAnsi"/>
          <w:sz w:val="24"/>
          <w:szCs w:val="24"/>
          <w:lang w:val="en-GB"/>
        </w:rPr>
        <w:t xml:space="preserve">to plan and budget for </w:t>
      </w:r>
      <w:r w:rsidRPr="00976CC3">
        <w:rPr>
          <w:rFonts w:cstheme="minorHAnsi"/>
          <w:sz w:val="24"/>
          <w:szCs w:val="24"/>
          <w:lang w:val="en-GB"/>
        </w:rPr>
        <w:t xml:space="preserve">sanitation (Construction of latrines and water sources) </w:t>
      </w:r>
      <w:r w:rsidR="00976CC3">
        <w:rPr>
          <w:rFonts w:cstheme="minorHAnsi"/>
          <w:sz w:val="24"/>
          <w:szCs w:val="24"/>
          <w:lang w:val="en-GB"/>
        </w:rPr>
        <w:t xml:space="preserve">facilities </w:t>
      </w:r>
      <w:r w:rsidRPr="00976CC3">
        <w:rPr>
          <w:rFonts w:cstheme="minorHAnsi"/>
          <w:sz w:val="24"/>
          <w:szCs w:val="24"/>
          <w:lang w:val="en-GB"/>
        </w:rPr>
        <w:t xml:space="preserve">and renovation of old </w:t>
      </w:r>
      <w:r w:rsidR="00976CC3">
        <w:rPr>
          <w:rFonts w:cstheme="minorHAnsi"/>
          <w:sz w:val="24"/>
          <w:szCs w:val="24"/>
          <w:lang w:val="en-GB"/>
        </w:rPr>
        <w:t>buildings before embarking on new</w:t>
      </w:r>
      <w:r w:rsidRPr="00976CC3">
        <w:rPr>
          <w:rFonts w:cstheme="minorHAnsi"/>
          <w:sz w:val="24"/>
          <w:szCs w:val="24"/>
          <w:lang w:val="en-GB"/>
        </w:rPr>
        <w:t xml:space="preserve"> civil works.</w:t>
      </w:r>
    </w:p>
    <w:p w:rsidR="001F4998" w:rsidRDefault="00976CC3" w:rsidP="00B73EFE">
      <w:pPr>
        <w:pStyle w:val="ListParagraph"/>
        <w:ind w:left="0"/>
        <w:jc w:val="both"/>
        <w:rPr>
          <w:rFonts w:cstheme="minorHAnsi"/>
          <w:sz w:val="24"/>
          <w:szCs w:val="24"/>
          <w:lang w:val="en-GB"/>
        </w:rPr>
      </w:pPr>
      <w:r>
        <w:rPr>
          <w:rFonts w:cstheme="minorHAnsi"/>
          <w:sz w:val="24"/>
          <w:szCs w:val="24"/>
          <w:lang w:val="en-GB"/>
        </w:rPr>
        <w:t>Monitoring reports should also capture/report on sanitation conditions in schools.</w:t>
      </w:r>
    </w:p>
    <w:p w:rsidR="00B73EFE" w:rsidRPr="00B73EFE" w:rsidRDefault="00B73EFE" w:rsidP="00B73EFE">
      <w:pPr>
        <w:pStyle w:val="ListParagraph"/>
        <w:ind w:left="0"/>
        <w:jc w:val="both"/>
        <w:rPr>
          <w:rFonts w:cstheme="minorHAnsi"/>
          <w:sz w:val="24"/>
          <w:szCs w:val="24"/>
          <w:lang w:val="en-GB"/>
        </w:rPr>
      </w:pPr>
    </w:p>
    <w:p w:rsidR="001F4998" w:rsidRPr="001F4998" w:rsidRDefault="001D7266" w:rsidP="001F4998">
      <w:pPr>
        <w:pStyle w:val="ListParagraph"/>
        <w:numPr>
          <w:ilvl w:val="2"/>
          <w:numId w:val="32"/>
        </w:numPr>
        <w:jc w:val="both"/>
        <w:rPr>
          <w:b/>
          <w:bCs/>
          <w:sz w:val="24"/>
          <w:szCs w:val="24"/>
          <w:lang w:val="en-GB"/>
        </w:rPr>
      </w:pPr>
      <w:r>
        <w:rPr>
          <w:b/>
          <w:bCs/>
          <w:sz w:val="24"/>
          <w:szCs w:val="24"/>
          <w:lang w:val="en-GB"/>
        </w:rPr>
        <w:t>Stock of Science Teachers</w:t>
      </w:r>
    </w:p>
    <w:p w:rsidR="001F4998" w:rsidRPr="001F4998" w:rsidRDefault="003F28D0" w:rsidP="001F4998">
      <w:pPr>
        <w:pStyle w:val="ListParagraph"/>
        <w:ind w:left="0"/>
        <w:jc w:val="both"/>
        <w:rPr>
          <w:rFonts w:ascii="Bookman Old Style" w:hAnsi="Bookman Old Style"/>
          <w:sz w:val="24"/>
          <w:szCs w:val="19"/>
        </w:rPr>
      </w:pPr>
      <w:r>
        <w:rPr>
          <w:sz w:val="24"/>
          <w:szCs w:val="24"/>
          <w:lang w:val="en-GB"/>
        </w:rPr>
        <w:lastRenderedPageBreak/>
        <w:t>Given the scarcity of science teachers,</w:t>
      </w:r>
      <w:r w:rsidR="001F4998" w:rsidRPr="001F4998">
        <w:rPr>
          <w:sz w:val="24"/>
          <w:szCs w:val="24"/>
          <w:lang w:val="en-GB"/>
        </w:rPr>
        <w:t xml:space="preserve"> the Ministry has continued to selectively recruit science and mathematics teachers whenever an opportunity arises.</w:t>
      </w:r>
      <w:r>
        <w:rPr>
          <w:sz w:val="24"/>
          <w:szCs w:val="24"/>
          <w:lang w:val="en-GB"/>
        </w:rPr>
        <w:t xml:space="preserve"> However, the implication is additional wage.</w:t>
      </w:r>
    </w:p>
    <w:p w:rsidR="001F4998" w:rsidRPr="0037217F" w:rsidRDefault="001F4998" w:rsidP="001F4998">
      <w:pPr>
        <w:pStyle w:val="ListParagraph"/>
        <w:rPr>
          <w:rFonts w:ascii="Bookman Old Style" w:hAnsi="Bookman Old Style"/>
          <w:sz w:val="24"/>
          <w:szCs w:val="19"/>
        </w:rPr>
      </w:pPr>
    </w:p>
    <w:p w:rsidR="001F4998" w:rsidRPr="001F4998" w:rsidRDefault="001F4998" w:rsidP="001F4998">
      <w:pPr>
        <w:pStyle w:val="ListParagraph"/>
        <w:numPr>
          <w:ilvl w:val="2"/>
          <w:numId w:val="32"/>
        </w:numPr>
        <w:jc w:val="both"/>
        <w:rPr>
          <w:b/>
          <w:bCs/>
          <w:sz w:val="24"/>
          <w:szCs w:val="24"/>
          <w:lang w:val="en-GB"/>
        </w:rPr>
      </w:pPr>
      <w:r>
        <w:rPr>
          <w:b/>
          <w:bCs/>
          <w:sz w:val="24"/>
          <w:szCs w:val="24"/>
          <w:lang w:val="en-GB"/>
        </w:rPr>
        <w:t>Care taker Head Teachers</w:t>
      </w:r>
    </w:p>
    <w:p w:rsidR="001F4998" w:rsidRPr="001F4998" w:rsidRDefault="001F4998" w:rsidP="001F4998">
      <w:pPr>
        <w:pStyle w:val="ListParagraph"/>
        <w:ind w:left="0"/>
        <w:jc w:val="both"/>
        <w:rPr>
          <w:sz w:val="24"/>
          <w:szCs w:val="24"/>
          <w:lang w:val="en-GB"/>
        </w:rPr>
      </w:pPr>
      <w:r w:rsidRPr="001F4998">
        <w:rPr>
          <w:sz w:val="24"/>
          <w:szCs w:val="24"/>
          <w:lang w:val="en-GB"/>
        </w:rPr>
        <w:t>All vacancies where there have been care taker head teachers and deputy head teachers were declared to Education Service Commission and subsequently promotions were completed for 157 new head teachers and 593 deputy head teachers awaiting deployment.</w:t>
      </w:r>
    </w:p>
    <w:p w:rsidR="001F4998" w:rsidRDefault="001F4998" w:rsidP="001F4998">
      <w:pPr>
        <w:pStyle w:val="ListParagraph"/>
        <w:rPr>
          <w:rFonts w:ascii="Bookman Old Style" w:hAnsi="Bookman Old Style"/>
          <w:i/>
          <w:sz w:val="24"/>
          <w:szCs w:val="19"/>
        </w:rPr>
      </w:pPr>
    </w:p>
    <w:p w:rsidR="001F4998" w:rsidRPr="001F4998" w:rsidRDefault="001F4998" w:rsidP="001F4998">
      <w:pPr>
        <w:pStyle w:val="ListParagraph"/>
        <w:numPr>
          <w:ilvl w:val="2"/>
          <w:numId w:val="32"/>
        </w:numPr>
        <w:jc w:val="both"/>
        <w:rPr>
          <w:b/>
          <w:bCs/>
          <w:sz w:val="24"/>
          <w:szCs w:val="24"/>
          <w:lang w:val="en-GB"/>
        </w:rPr>
      </w:pPr>
      <w:r w:rsidRPr="001F4998">
        <w:rPr>
          <w:b/>
          <w:bCs/>
          <w:sz w:val="24"/>
          <w:szCs w:val="24"/>
          <w:lang w:val="en-GB"/>
        </w:rPr>
        <w:t xml:space="preserve"> </w:t>
      </w:r>
      <w:r w:rsidR="0046100E">
        <w:rPr>
          <w:b/>
          <w:bCs/>
          <w:sz w:val="24"/>
          <w:szCs w:val="24"/>
          <w:lang w:val="en-GB"/>
        </w:rPr>
        <w:t xml:space="preserve">Sensitisation of </w:t>
      </w:r>
      <w:r w:rsidRPr="001F4998">
        <w:rPr>
          <w:b/>
          <w:bCs/>
          <w:sz w:val="24"/>
          <w:szCs w:val="24"/>
          <w:lang w:val="en-GB"/>
        </w:rPr>
        <w:t>the public ab</w:t>
      </w:r>
      <w:r w:rsidR="0046100E">
        <w:rPr>
          <w:b/>
          <w:bCs/>
          <w:sz w:val="24"/>
          <w:szCs w:val="24"/>
          <w:lang w:val="en-GB"/>
        </w:rPr>
        <w:t>out the thematic curriculum</w:t>
      </w:r>
    </w:p>
    <w:p w:rsidR="001F4998" w:rsidRPr="001F4998" w:rsidRDefault="001F4998" w:rsidP="001F4998">
      <w:pPr>
        <w:pStyle w:val="ListParagraph"/>
        <w:ind w:left="0"/>
        <w:jc w:val="both"/>
        <w:rPr>
          <w:sz w:val="24"/>
          <w:szCs w:val="24"/>
          <w:lang w:val="en-GB"/>
        </w:rPr>
      </w:pPr>
      <w:r w:rsidRPr="001F4998">
        <w:rPr>
          <w:sz w:val="24"/>
          <w:szCs w:val="24"/>
          <w:lang w:val="en-GB"/>
        </w:rPr>
        <w:t>The Thematic Curriculum was rolled out in 2007 in all primary schools in the country. Prior to the rollout, the Government White Paper 1992, recommendation Page 16 and the report of the curriculum Review Task Force 1993 advocate for the use of Mother tongue as a medium o instruction in all Basic Education Programmes from P1-4.</w:t>
      </w:r>
    </w:p>
    <w:p w:rsidR="001F4998" w:rsidRPr="001F4998" w:rsidRDefault="001F4998" w:rsidP="001F4998">
      <w:pPr>
        <w:pStyle w:val="ListParagraph"/>
        <w:ind w:left="0"/>
        <w:jc w:val="both"/>
        <w:rPr>
          <w:sz w:val="24"/>
          <w:szCs w:val="24"/>
          <w:lang w:val="en-GB"/>
        </w:rPr>
      </w:pPr>
      <w:r w:rsidRPr="001F4998">
        <w:rPr>
          <w:sz w:val="24"/>
          <w:szCs w:val="24"/>
          <w:lang w:val="en-GB"/>
        </w:rPr>
        <w:t>During the rollout in 2007, with the available resources the ministry through NCDC prepared a Core Team of experts who carried out sensitization and retooling.</w:t>
      </w:r>
    </w:p>
    <w:p w:rsidR="001F4998" w:rsidRPr="001F4998" w:rsidRDefault="001F4998" w:rsidP="00BB62F1">
      <w:pPr>
        <w:pStyle w:val="ListParagraph"/>
        <w:numPr>
          <w:ilvl w:val="0"/>
          <w:numId w:val="43"/>
        </w:numPr>
        <w:jc w:val="both"/>
        <w:rPr>
          <w:sz w:val="24"/>
          <w:szCs w:val="24"/>
          <w:lang w:val="en-GB"/>
        </w:rPr>
      </w:pPr>
      <w:r w:rsidRPr="001F4998">
        <w:rPr>
          <w:sz w:val="24"/>
          <w:szCs w:val="24"/>
          <w:lang w:val="en-GB"/>
        </w:rPr>
        <w:t>Three district officials from all districts in the country were oriented (Education Officer, DIS plus one representative of CAO)</w:t>
      </w:r>
    </w:p>
    <w:p w:rsidR="001F4998" w:rsidRPr="001F4998" w:rsidRDefault="001F4998" w:rsidP="00BB62F1">
      <w:pPr>
        <w:pStyle w:val="ListParagraph"/>
        <w:numPr>
          <w:ilvl w:val="0"/>
          <w:numId w:val="43"/>
        </w:numPr>
        <w:jc w:val="both"/>
        <w:rPr>
          <w:sz w:val="24"/>
          <w:szCs w:val="24"/>
          <w:lang w:val="en-GB"/>
        </w:rPr>
      </w:pPr>
      <w:r w:rsidRPr="001F4998">
        <w:rPr>
          <w:sz w:val="24"/>
          <w:szCs w:val="24"/>
          <w:lang w:val="en-GB"/>
        </w:rPr>
        <w:t xml:space="preserve">All PTC tutors were oriented. </w:t>
      </w:r>
    </w:p>
    <w:p w:rsidR="001F4998" w:rsidRPr="001F4998" w:rsidRDefault="001F4998" w:rsidP="00BB62F1">
      <w:pPr>
        <w:pStyle w:val="ListParagraph"/>
        <w:numPr>
          <w:ilvl w:val="0"/>
          <w:numId w:val="43"/>
        </w:numPr>
        <w:jc w:val="both"/>
        <w:rPr>
          <w:sz w:val="24"/>
          <w:szCs w:val="24"/>
          <w:lang w:val="en-GB"/>
        </w:rPr>
      </w:pPr>
      <w:r w:rsidRPr="001F4998">
        <w:rPr>
          <w:sz w:val="24"/>
          <w:szCs w:val="24"/>
          <w:lang w:val="en-GB"/>
        </w:rPr>
        <w:t>Every primary school in the country sent three teachers for orientation on the New Curriculum</w:t>
      </w:r>
    </w:p>
    <w:p w:rsidR="001F4998" w:rsidRPr="001F4998" w:rsidRDefault="001F4998" w:rsidP="00BB62F1">
      <w:pPr>
        <w:pStyle w:val="ListParagraph"/>
        <w:numPr>
          <w:ilvl w:val="0"/>
          <w:numId w:val="43"/>
        </w:numPr>
        <w:jc w:val="both"/>
        <w:rPr>
          <w:sz w:val="24"/>
          <w:szCs w:val="24"/>
          <w:lang w:val="en-GB"/>
        </w:rPr>
      </w:pPr>
      <w:r w:rsidRPr="001F4998">
        <w:rPr>
          <w:sz w:val="24"/>
          <w:szCs w:val="24"/>
          <w:lang w:val="en-GB"/>
        </w:rPr>
        <w:t>Flyers and Calendars with messages on the thematic curriculum were sent to all schools.</w:t>
      </w:r>
    </w:p>
    <w:p w:rsidR="001F4998" w:rsidRPr="001F4998" w:rsidRDefault="001F4998" w:rsidP="00BB62F1">
      <w:pPr>
        <w:pStyle w:val="ListParagraph"/>
        <w:numPr>
          <w:ilvl w:val="0"/>
          <w:numId w:val="43"/>
        </w:numPr>
        <w:jc w:val="both"/>
        <w:rPr>
          <w:sz w:val="24"/>
          <w:szCs w:val="24"/>
          <w:lang w:val="en-GB"/>
        </w:rPr>
      </w:pPr>
      <w:r w:rsidRPr="001F4998">
        <w:rPr>
          <w:sz w:val="24"/>
          <w:szCs w:val="24"/>
          <w:lang w:val="en-GB"/>
        </w:rPr>
        <w:t>Talk shows on Thematic Curriculum were hosted on Local and national radios</w:t>
      </w:r>
    </w:p>
    <w:p w:rsidR="001F4998" w:rsidRPr="001F4998" w:rsidRDefault="001F4998" w:rsidP="00BB62F1">
      <w:pPr>
        <w:pStyle w:val="ListParagraph"/>
        <w:numPr>
          <w:ilvl w:val="0"/>
          <w:numId w:val="43"/>
        </w:numPr>
        <w:jc w:val="both"/>
        <w:rPr>
          <w:sz w:val="24"/>
          <w:szCs w:val="24"/>
          <w:lang w:val="en-GB"/>
        </w:rPr>
      </w:pPr>
      <w:r w:rsidRPr="001F4998">
        <w:rPr>
          <w:sz w:val="24"/>
          <w:szCs w:val="24"/>
          <w:lang w:val="en-GB"/>
        </w:rPr>
        <w:t>A Newsletter (Thema) was circulated to all schools and PTCs</w:t>
      </w:r>
    </w:p>
    <w:p w:rsidR="001F4998" w:rsidRPr="001F4998" w:rsidRDefault="001F4998" w:rsidP="00BB62F1">
      <w:pPr>
        <w:pStyle w:val="ListParagraph"/>
        <w:numPr>
          <w:ilvl w:val="0"/>
          <w:numId w:val="43"/>
        </w:numPr>
        <w:jc w:val="both"/>
        <w:rPr>
          <w:sz w:val="24"/>
          <w:szCs w:val="24"/>
          <w:lang w:val="en-GB"/>
        </w:rPr>
      </w:pPr>
      <w:r w:rsidRPr="001F4998">
        <w:rPr>
          <w:sz w:val="24"/>
          <w:szCs w:val="24"/>
          <w:lang w:val="en-GB"/>
        </w:rPr>
        <w:t>Cultural groups were consulted</w:t>
      </w:r>
    </w:p>
    <w:p w:rsidR="001F4998" w:rsidRDefault="001F4998" w:rsidP="001F4998">
      <w:pPr>
        <w:pStyle w:val="ListParagraph"/>
        <w:numPr>
          <w:ilvl w:val="0"/>
          <w:numId w:val="43"/>
        </w:numPr>
        <w:jc w:val="both"/>
        <w:rPr>
          <w:sz w:val="24"/>
          <w:szCs w:val="24"/>
          <w:lang w:val="en-GB"/>
        </w:rPr>
      </w:pPr>
      <w:r w:rsidRPr="001F4998">
        <w:rPr>
          <w:sz w:val="24"/>
          <w:szCs w:val="24"/>
          <w:lang w:val="en-GB"/>
        </w:rPr>
        <w:t>Education Funding Agencies were involved and they participated</w:t>
      </w:r>
    </w:p>
    <w:p w:rsidR="00BB62F1" w:rsidRPr="00BB62F1" w:rsidRDefault="00BB62F1" w:rsidP="00BB62F1">
      <w:pPr>
        <w:pStyle w:val="ListParagraph"/>
        <w:jc w:val="both"/>
        <w:rPr>
          <w:sz w:val="24"/>
          <w:szCs w:val="24"/>
          <w:lang w:val="en-GB"/>
        </w:rPr>
      </w:pPr>
    </w:p>
    <w:p w:rsidR="001F4998" w:rsidRPr="00BB62F1" w:rsidRDefault="001F4998" w:rsidP="00F703C9">
      <w:pPr>
        <w:spacing w:after="0"/>
        <w:rPr>
          <w:sz w:val="24"/>
          <w:szCs w:val="24"/>
          <w:lang w:val="en-GB"/>
        </w:rPr>
      </w:pPr>
      <w:r w:rsidRPr="00BB62F1">
        <w:rPr>
          <w:sz w:val="24"/>
          <w:szCs w:val="24"/>
          <w:lang w:val="en-GB"/>
        </w:rPr>
        <w:t>However there were/are some challenges</w:t>
      </w:r>
    </w:p>
    <w:p w:rsidR="001F4998" w:rsidRPr="00BB62F1" w:rsidRDefault="001F4998" w:rsidP="00BB62F1">
      <w:pPr>
        <w:pStyle w:val="ListParagraph"/>
        <w:numPr>
          <w:ilvl w:val="0"/>
          <w:numId w:val="44"/>
        </w:numPr>
        <w:jc w:val="both"/>
        <w:rPr>
          <w:sz w:val="24"/>
          <w:szCs w:val="24"/>
          <w:lang w:val="en-GB"/>
        </w:rPr>
      </w:pPr>
      <w:r w:rsidRPr="00BB62F1">
        <w:rPr>
          <w:sz w:val="24"/>
          <w:szCs w:val="24"/>
          <w:lang w:val="en-GB"/>
        </w:rPr>
        <w:t>Some teachers who were oriented either were transferred and given non thematic classes or they retired.</w:t>
      </w:r>
    </w:p>
    <w:p w:rsidR="001F4998" w:rsidRPr="00BB62F1" w:rsidRDefault="001F4998" w:rsidP="00BB62F1">
      <w:pPr>
        <w:pStyle w:val="ListParagraph"/>
        <w:numPr>
          <w:ilvl w:val="0"/>
          <w:numId w:val="44"/>
        </w:numPr>
        <w:jc w:val="both"/>
        <w:rPr>
          <w:sz w:val="24"/>
          <w:szCs w:val="24"/>
          <w:lang w:val="en-GB"/>
        </w:rPr>
      </w:pPr>
      <w:r w:rsidRPr="00BB62F1">
        <w:rPr>
          <w:sz w:val="24"/>
          <w:szCs w:val="24"/>
          <w:lang w:val="en-GB"/>
        </w:rPr>
        <w:t>The teachers who were oriented were supposed to continue carrying out school Based training which was not funded and therefore not responded to effectively.</w:t>
      </w:r>
    </w:p>
    <w:p w:rsidR="001F4998" w:rsidRPr="00BB62F1" w:rsidRDefault="001F4998" w:rsidP="00BB62F1">
      <w:pPr>
        <w:pStyle w:val="ListParagraph"/>
        <w:numPr>
          <w:ilvl w:val="0"/>
          <w:numId w:val="44"/>
        </w:numPr>
        <w:jc w:val="both"/>
        <w:rPr>
          <w:sz w:val="24"/>
          <w:szCs w:val="24"/>
          <w:lang w:val="en-GB"/>
        </w:rPr>
      </w:pPr>
      <w:r w:rsidRPr="00BB62F1">
        <w:rPr>
          <w:sz w:val="24"/>
          <w:szCs w:val="24"/>
          <w:lang w:val="en-GB"/>
        </w:rPr>
        <w:t>Some teachers in some schools who are not natives could not handle Local Languages and therefore staffing problems</w:t>
      </w:r>
    </w:p>
    <w:p w:rsidR="001F4998" w:rsidRPr="004301AF" w:rsidRDefault="001F4998" w:rsidP="001F4998">
      <w:pPr>
        <w:pStyle w:val="ListParagraph"/>
        <w:rPr>
          <w:rFonts w:ascii="Tahoma" w:hAnsi="Tahoma" w:cs="Tahoma"/>
          <w:sz w:val="24"/>
          <w:szCs w:val="24"/>
        </w:rPr>
      </w:pPr>
    </w:p>
    <w:p w:rsidR="001F4998" w:rsidRPr="00BB62F1" w:rsidRDefault="0046100E" w:rsidP="00F703C9">
      <w:pPr>
        <w:pStyle w:val="ListParagraph"/>
        <w:numPr>
          <w:ilvl w:val="2"/>
          <w:numId w:val="32"/>
        </w:numPr>
        <w:spacing w:after="0"/>
        <w:jc w:val="both"/>
        <w:rPr>
          <w:b/>
          <w:bCs/>
          <w:sz w:val="24"/>
          <w:szCs w:val="24"/>
          <w:lang w:val="en-GB"/>
        </w:rPr>
      </w:pPr>
      <w:r>
        <w:rPr>
          <w:b/>
          <w:bCs/>
          <w:sz w:val="24"/>
          <w:szCs w:val="24"/>
          <w:lang w:val="en-GB"/>
        </w:rPr>
        <w:t>T</w:t>
      </w:r>
      <w:r w:rsidR="001F4998" w:rsidRPr="00BB62F1">
        <w:rPr>
          <w:b/>
          <w:bCs/>
          <w:sz w:val="24"/>
          <w:szCs w:val="24"/>
          <w:lang w:val="en-GB"/>
        </w:rPr>
        <w:t xml:space="preserve">raining </w:t>
      </w:r>
      <w:r>
        <w:rPr>
          <w:b/>
          <w:bCs/>
          <w:sz w:val="24"/>
          <w:szCs w:val="24"/>
          <w:lang w:val="en-GB"/>
        </w:rPr>
        <w:t>of the teachers in local languages.</w:t>
      </w:r>
    </w:p>
    <w:p w:rsidR="001F4998" w:rsidRPr="00BB62F1" w:rsidRDefault="001F4998" w:rsidP="001F4998">
      <w:pPr>
        <w:rPr>
          <w:sz w:val="24"/>
          <w:szCs w:val="24"/>
          <w:lang w:val="en-GB"/>
        </w:rPr>
      </w:pPr>
      <w:r w:rsidRPr="00BB62F1">
        <w:rPr>
          <w:sz w:val="24"/>
          <w:szCs w:val="24"/>
          <w:lang w:val="en-GB"/>
        </w:rPr>
        <w:t>The department of TIET has included teaching of Local Language on the PTE curriculum. However this covers methodology of teaching local language and may not necessarily cover language expertise.</w:t>
      </w:r>
    </w:p>
    <w:p w:rsidR="001F4998" w:rsidRPr="00BB62F1" w:rsidRDefault="001F4998" w:rsidP="00F703C9">
      <w:pPr>
        <w:pStyle w:val="ListParagraph"/>
        <w:numPr>
          <w:ilvl w:val="2"/>
          <w:numId w:val="32"/>
        </w:numPr>
        <w:spacing w:after="0"/>
        <w:jc w:val="both"/>
        <w:rPr>
          <w:b/>
          <w:bCs/>
          <w:sz w:val="24"/>
          <w:szCs w:val="24"/>
          <w:lang w:val="en-GB"/>
        </w:rPr>
      </w:pPr>
      <w:r w:rsidRPr="00BB62F1">
        <w:rPr>
          <w:b/>
          <w:bCs/>
          <w:sz w:val="24"/>
          <w:szCs w:val="24"/>
          <w:lang w:val="en-GB"/>
        </w:rPr>
        <w:lastRenderedPageBreak/>
        <w:t>Mathematics and computer were made mandatory options or A-Level but the ministry is aware that trained teachers in those two subsidiaries are</w:t>
      </w:r>
      <w:r w:rsidR="0046100E">
        <w:rPr>
          <w:b/>
          <w:bCs/>
          <w:sz w:val="24"/>
          <w:szCs w:val="24"/>
          <w:lang w:val="en-GB"/>
        </w:rPr>
        <w:t xml:space="preserve"> not adequately available. Steps</w:t>
      </w:r>
      <w:r w:rsidRPr="00BB62F1">
        <w:rPr>
          <w:b/>
          <w:bCs/>
          <w:sz w:val="24"/>
          <w:szCs w:val="24"/>
          <w:lang w:val="en-GB"/>
        </w:rPr>
        <w:t xml:space="preserve"> taken to bridge the gap</w:t>
      </w:r>
      <w:r w:rsidR="0046100E">
        <w:rPr>
          <w:b/>
          <w:bCs/>
          <w:sz w:val="24"/>
          <w:szCs w:val="24"/>
          <w:lang w:val="en-GB"/>
        </w:rPr>
        <w:t>.</w:t>
      </w:r>
    </w:p>
    <w:p w:rsidR="001F4998" w:rsidRPr="00BB62F1" w:rsidRDefault="001F4998" w:rsidP="001F4998">
      <w:pPr>
        <w:rPr>
          <w:sz w:val="24"/>
          <w:szCs w:val="24"/>
          <w:lang w:val="en-GB"/>
        </w:rPr>
      </w:pPr>
      <w:r w:rsidRPr="00BB62F1">
        <w:rPr>
          <w:sz w:val="24"/>
          <w:szCs w:val="24"/>
          <w:lang w:val="en-GB"/>
        </w:rPr>
        <w:t>Every school that offers Principle Mathematics has a teacher who doubles for sub maths. It is not therefore true that maths teachers are not adequate for sub maths. However, for Computer Studies, it is true that some schools lack qualified teachers for the subject and even computers. These schools are encouraged to offer sub maths.</w:t>
      </w:r>
    </w:p>
    <w:p w:rsidR="001F4998" w:rsidRPr="00BB62F1" w:rsidRDefault="001F4998" w:rsidP="001F4998">
      <w:pPr>
        <w:rPr>
          <w:sz w:val="24"/>
          <w:szCs w:val="24"/>
          <w:lang w:val="en-GB"/>
        </w:rPr>
      </w:pPr>
      <w:r w:rsidRPr="00BB62F1">
        <w:rPr>
          <w:sz w:val="24"/>
          <w:szCs w:val="24"/>
          <w:lang w:val="en-GB"/>
        </w:rPr>
        <w:t>To bridge the gap, government allowed non-professional teachers of computer to teach as long as they are qualified in computer studies, or those teachers who had computer knowledge to double for the subject. This was a short term arrangement to kick start computer studying in schools.</w:t>
      </w:r>
    </w:p>
    <w:p w:rsidR="001F4998" w:rsidRDefault="001F4998" w:rsidP="001F4998">
      <w:pPr>
        <w:rPr>
          <w:rFonts w:ascii="Tahoma" w:hAnsi="Tahoma" w:cs="Tahoma"/>
          <w:sz w:val="24"/>
          <w:szCs w:val="24"/>
        </w:rPr>
      </w:pPr>
    </w:p>
    <w:p w:rsidR="001F4998" w:rsidRPr="00BB62F1" w:rsidRDefault="001F4998" w:rsidP="00F703C9">
      <w:pPr>
        <w:pStyle w:val="ListParagraph"/>
        <w:numPr>
          <w:ilvl w:val="2"/>
          <w:numId w:val="32"/>
        </w:numPr>
        <w:spacing w:after="0"/>
        <w:jc w:val="both"/>
        <w:rPr>
          <w:b/>
          <w:bCs/>
          <w:sz w:val="24"/>
          <w:szCs w:val="24"/>
          <w:lang w:val="en-GB"/>
        </w:rPr>
      </w:pPr>
      <w:r w:rsidRPr="00BB62F1">
        <w:rPr>
          <w:b/>
          <w:bCs/>
          <w:sz w:val="24"/>
          <w:szCs w:val="24"/>
          <w:lang w:val="en-GB"/>
        </w:rPr>
        <w:t>The Minister was quote</w:t>
      </w:r>
      <w:r w:rsidR="00BB62F1">
        <w:rPr>
          <w:b/>
          <w:bCs/>
          <w:sz w:val="24"/>
          <w:szCs w:val="24"/>
          <w:lang w:val="en-GB"/>
        </w:rPr>
        <w:t>d</w:t>
      </w:r>
      <w:r w:rsidRPr="00BB62F1">
        <w:rPr>
          <w:b/>
          <w:bCs/>
          <w:sz w:val="24"/>
          <w:szCs w:val="24"/>
          <w:lang w:val="en-GB"/>
        </w:rPr>
        <w:t xml:space="preserve"> in the media saying that time for studying or pupils especially those in lower classes should be reduced (in reference to extra study time and taking children so early to school), wont this affect parents?</w:t>
      </w:r>
    </w:p>
    <w:p w:rsidR="001F4998" w:rsidRPr="00BB62F1" w:rsidRDefault="001F4998" w:rsidP="00F703C9">
      <w:pPr>
        <w:jc w:val="both"/>
        <w:rPr>
          <w:sz w:val="24"/>
          <w:szCs w:val="24"/>
          <w:lang w:val="en-GB"/>
        </w:rPr>
      </w:pPr>
      <w:r w:rsidRPr="00BB62F1">
        <w:rPr>
          <w:sz w:val="24"/>
          <w:szCs w:val="24"/>
          <w:lang w:val="en-GB"/>
        </w:rPr>
        <w:t>The children in schools are supposed to be taught following the time table.For lower classes (P1-2), teaching starts at 8.30am up to 11.00.am and they take a break for 30 minutes and resume classes at 11.00am up to 12.30pm when they break off for lunch. This class goes home for lunch and is not supposed to come back for classes. The learners are not supposed to engage into class work. For P3 to P7, Classes start at 8.30 am, have a break at 10.30am and resume at 11.00 to 1.00pm, take a break and resume at 2,00pm to 3.50pm. After this time, learners attend to co-curricular activities, sports and games. No classes are allowed. Therefore, there is no reduction in time but adherence to time as per the time tables given by MoES through NCDC.</w:t>
      </w:r>
    </w:p>
    <w:p w:rsidR="001F4998" w:rsidRPr="00BB62F1" w:rsidRDefault="001F4998" w:rsidP="00F703C9">
      <w:pPr>
        <w:pStyle w:val="ListParagraph"/>
        <w:numPr>
          <w:ilvl w:val="2"/>
          <w:numId w:val="32"/>
        </w:numPr>
        <w:spacing w:after="0"/>
        <w:jc w:val="both"/>
        <w:rPr>
          <w:b/>
          <w:bCs/>
          <w:sz w:val="24"/>
          <w:szCs w:val="24"/>
          <w:lang w:val="en-GB"/>
        </w:rPr>
      </w:pPr>
      <w:r w:rsidRPr="00BB62F1">
        <w:rPr>
          <w:b/>
          <w:bCs/>
          <w:sz w:val="24"/>
          <w:szCs w:val="24"/>
          <w:lang w:val="en-GB"/>
        </w:rPr>
        <w:t>The new curriculum has only been piloted in the rural schools. What plans are there to test it in the urban schools before it is fully rolled out?</w:t>
      </w:r>
    </w:p>
    <w:p w:rsidR="001F4998" w:rsidRPr="00BB62F1" w:rsidRDefault="001F4998" w:rsidP="00BB62F1">
      <w:pPr>
        <w:jc w:val="both"/>
        <w:rPr>
          <w:sz w:val="24"/>
          <w:szCs w:val="24"/>
          <w:lang w:val="en-GB"/>
        </w:rPr>
      </w:pPr>
      <w:r w:rsidRPr="00BB62F1">
        <w:rPr>
          <w:sz w:val="24"/>
          <w:szCs w:val="24"/>
          <w:lang w:val="en-GB"/>
        </w:rPr>
        <w:t xml:space="preserve">The proposed new curriculum of lower secondary has never been piloted. What </w:t>
      </w:r>
      <w:r w:rsidR="00BB62F1" w:rsidRPr="00BB62F1">
        <w:rPr>
          <w:sz w:val="24"/>
          <w:szCs w:val="24"/>
          <w:lang w:val="en-GB"/>
        </w:rPr>
        <w:t xml:space="preserve">NCDC </w:t>
      </w:r>
      <w:r w:rsidRPr="00BB62F1">
        <w:rPr>
          <w:sz w:val="24"/>
          <w:szCs w:val="24"/>
          <w:lang w:val="en-GB"/>
        </w:rPr>
        <w:t>did was to make use of the few schools called “Link schools’ which were meant to aid the curriculum development process with the pre-testing of content in selected extracts, suggested to see its suitability and time allocation.</w:t>
      </w:r>
    </w:p>
    <w:p w:rsidR="001F4998" w:rsidRPr="00CD69C9" w:rsidRDefault="001F4998" w:rsidP="00B73EFE">
      <w:pPr>
        <w:spacing w:before="240"/>
        <w:jc w:val="both"/>
        <w:rPr>
          <w:sz w:val="24"/>
          <w:szCs w:val="24"/>
          <w:lang w:val="en-GB"/>
        </w:rPr>
      </w:pPr>
      <w:r w:rsidRPr="00BB62F1">
        <w:rPr>
          <w:sz w:val="24"/>
          <w:szCs w:val="24"/>
          <w:lang w:val="en-GB"/>
        </w:rPr>
        <w:t>Piloting the new curriculum has been suggested to be done in 20 front runner schools through the MoES, which is not yet done.</w:t>
      </w:r>
    </w:p>
    <w:sectPr w:rsidR="001F4998" w:rsidRPr="00CD69C9" w:rsidSect="00F703C9">
      <w:footerReference w:type="default" r:id="rId9"/>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EA" w:rsidRDefault="00C830EA" w:rsidP="00CD69C9">
      <w:pPr>
        <w:spacing w:after="0" w:line="240" w:lineRule="auto"/>
      </w:pPr>
      <w:r>
        <w:separator/>
      </w:r>
    </w:p>
  </w:endnote>
  <w:endnote w:type="continuationSeparator" w:id="0">
    <w:p w:rsidR="00C830EA" w:rsidRDefault="00C830EA" w:rsidP="00CD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83021"/>
      <w:docPartObj>
        <w:docPartGallery w:val="Page Numbers (Bottom of Page)"/>
        <w:docPartUnique/>
      </w:docPartObj>
    </w:sdtPr>
    <w:sdtEndPr/>
    <w:sdtContent>
      <w:sdt>
        <w:sdtPr>
          <w:id w:val="-1705238520"/>
          <w:docPartObj>
            <w:docPartGallery w:val="Page Numbers (Top of Page)"/>
            <w:docPartUnique/>
          </w:docPartObj>
        </w:sdtPr>
        <w:sdtEndPr/>
        <w:sdtContent>
          <w:p w:rsidR="00AF2C73" w:rsidRDefault="00AF2C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507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7A9">
              <w:rPr>
                <w:b/>
                <w:bCs/>
                <w:noProof/>
              </w:rPr>
              <w:t>12</w:t>
            </w:r>
            <w:r>
              <w:rPr>
                <w:b/>
                <w:bCs/>
                <w:sz w:val="24"/>
                <w:szCs w:val="24"/>
              </w:rPr>
              <w:fldChar w:fldCharType="end"/>
            </w:r>
          </w:p>
        </w:sdtContent>
      </w:sdt>
    </w:sdtContent>
  </w:sdt>
  <w:p w:rsidR="00AF2C73" w:rsidRDefault="00AF2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EA" w:rsidRDefault="00C830EA" w:rsidP="00CD69C9">
      <w:pPr>
        <w:spacing w:after="0" w:line="240" w:lineRule="auto"/>
      </w:pPr>
      <w:r>
        <w:separator/>
      </w:r>
    </w:p>
  </w:footnote>
  <w:footnote w:type="continuationSeparator" w:id="0">
    <w:p w:rsidR="00C830EA" w:rsidRDefault="00C830EA" w:rsidP="00CD6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29E"/>
    <w:multiLevelType w:val="hybridMultilevel"/>
    <w:tmpl w:val="D23A8A82"/>
    <w:lvl w:ilvl="0" w:tplc="1BCE2ED0">
      <w:start w:val="1"/>
      <w:numFmt w:val="bullet"/>
      <w:lvlText w:val=""/>
      <w:lvlJc w:val="left"/>
      <w:pPr>
        <w:tabs>
          <w:tab w:val="num" w:pos="720"/>
        </w:tabs>
        <w:ind w:left="720" w:hanging="360"/>
      </w:pPr>
      <w:rPr>
        <w:rFonts w:ascii="Wingdings" w:hAnsi="Wingdings" w:hint="default"/>
      </w:rPr>
    </w:lvl>
    <w:lvl w:ilvl="1" w:tplc="2A7413DC" w:tentative="1">
      <w:start w:val="1"/>
      <w:numFmt w:val="bullet"/>
      <w:lvlText w:val=""/>
      <w:lvlJc w:val="left"/>
      <w:pPr>
        <w:tabs>
          <w:tab w:val="num" w:pos="1440"/>
        </w:tabs>
        <w:ind w:left="1440" w:hanging="360"/>
      </w:pPr>
      <w:rPr>
        <w:rFonts w:ascii="Wingdings" w:hAnsi="Wingdings" w:hint="default"/>
      </w:rPr>
    </w:lvl>
    <w:lvl w:ilvl="2" w:tplc="3578B914" w:tentative="1">
      <w:start w:val="1"/>
      <w:numFmt w:val="bullet"/>
      <w:lvlText w:val=""/>
      <w:lvlJc w:val="left"/>
      <w:pPr>
        <w:tabs>
          <w:tab w:val="num" w:pos="2160"/>
        </w:tabs>
        <w:ind w:left="2160" w:hanging="360"/>
      </w:pPr>
      <w:rPr>
        <w:rFonts w:ascii="Wingdings" w:hAnsi="Wingdings" w:hint="default"/>
      </w:rPr>
    </w:lvl>
    <w:lvl w:ilvl="3" w:tplc="AB42B884" w:tentative="1">
      <w:start w:val="1"/>
      <w:numFmt w:val="bullet"/>
      <w:lvlText w:val=""/>
      <w:lvlJc w:val="left"/>
      <w:pPr>
        <w:tabs>
          <w:tab w:val="num" w:pos="2880"/>
        </w:tabs>
        <w:ind w:left="2880" w:hanging="360"/>
      </w:pPr>
      <w:rPr>
        <w:rFonts w:ascii="Wingdings" w:hAnsi="Wingdings" w:hint="default"/>
      </w:rPr>
    </w:lvl>
    <w:lvl w:ilvl="4" w:tplc="3640A5E6" w:tentative="1">
      <w:start w:val="1"/>
      <w:numFmt w:val="bullet"/>
      <w:lvlText w:val=""/>
      <w:lvlJc w:val="left"/>
      <w:pPr>
        <w:tabs>
          <w:tab w:val="num" w:pos="3600"/>
        </w:tabs>
        <w:ind w:left="3600" w:hanging="360"/>
      </w:pPr>
      <w:rPr>
        <w:rFonts w:ascii="Wingdings" w:hAnsi="Wingdings" w:hint="default"/>
      </w:rPr>
    </w:lvl>
    <w:lvl w:ilvl="5" w:tplc="10FE5DDC" w:tentative="1">
      <w:start w:val="1"/>
      <w:numFmt w:val="bullet"/>
      <w:lvlText w:val=""/>
      <w:lvlJc w:val="left"/>
      <w:pPr>
        <w:tabs>
          <w:tab w:val="num" w:pos="4320"/>
        </w:tabs>
        <w:ind w:left="4320" w:hanging="360"/>
      </w:pPr>
      <w:rPr>
        <w:rFonts w:ascii="Wingdings" w:hAnsi="Wingdings" w:hint="default"/>
      </w:rPr>
    </w:lvl>
    <w:lvl w:ilvl="6" w:tplc="522E2E14" w:tentative="1">
      <w:start w:val="1"/>
      <w:numFmt w:val="bullet"/>
      <w:lvlText w:val=""/>
      <w:lvlJc w:val="left"/>
      <w:pPr>
        <w:tabs>
          <w:tab w:val="num" w:pos="5040"/>
        </w:tabs>
        <w:ind w:left="5040" w:hanging="360"/>
      </w:pPr>
      <w:rPr>
        <w:rFonts w:ascii="Wingdings" w:hAnsi="Wingdings" w:hint="default"/>
      </w:rPr>
    </w:lvl>
    <w:lvl w:ilvl="7" w:tplc="326E0C68" w:tentative="1">
      <w:start w:val="1"/>
      <w:numFmt w:val="bullet"/>
      <w:lvlText w:val=""/>
      <w:lvlJc w:val="left"/>
      <w:pPr>
        <w:tabs>
          <w:tab w:val="num" w:pos="5760"/>
        </w:tabs>
        <w:ind w:left="5760" w:hanging="360"/>
      </w:pPr>
      <w:rPr>
        <w:rFonts w:ascii="Wingdings" w:hAnsi="Wingdings" w:hint="default"/>
      </w:rPr>
    </w:lvl>
    <w:lvl w:ilvl="8" w:tplc="4E00DC5E" w:tentative="1">
      <w:start w:val="1"/>
      <w:numFmt w:val="bullet"/>
      <w:lvlText w:val=""/>
      <w:lvlJc w:val="left"/>
      <w:pPr>
        <w:tabs>
          <w:tab w:val="num" w:pos="6480"/>
        </w:tabs>
        <w:ind w:left="6480" w:hanging="360"/>
      </w:pPr>
      <w:rPr>
        <w:rFonts w:ascii="Wingdings" w:hAnsi="Wingdings" w:hint="default"/>
      </w:rPr>
    </w:lvl>
  </w:abstractNum>
  <w:abstractNum w:abstractNumId="1">
    <w:nsid w:val="010E1665"/>
    <w:multiLevelType w:val="hybridMultilevel"/>
    <w:tmpl w:val="49A4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A5255"/>
    <w:multiLevelType w:val="hybridMultilevel"/>
    <w:tmpl w:val="9B3CC22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CC51383"/>
    <w:multiLevelType w:val="hybridMultilevel"/>
    <w:tmpl w:val="7EE6E13C"/>
    <w:lvl w:ilvl="0" w:tplc="04090017">
      <w:start w:val="1"/>
      <w:numFmt w:val="lowerLetter"/>
      <w:lvlText w:val="%1)"/>
      <w:lvlJc w:val="left"/>
      <w:pPr>
        <w:ind w:left="1080" w:hanging="360"/>
      </w:pPr>
    </w:lvl>
    <w:lvl w:ilvl="1" w:tplc="6DFCB822">
      <w:start w:val="8"/>
      <w:numFmt w:val="bullet"/>
      <w:lvlText w:val="•"/>
      <w:lvlJc w:val="left"/>
      <w:pPr>
        <w:ind w:left="1800" w:hanging="360"/>
      </w:pPr>
      <w:rPr>
        <w:rFonts w:ascii="Calibri" w:eastAsiaTheme="minorHAnsi" w:hAnsi="Calibri"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9906AE"/>
    <w:multiLevelType w:val="hybridMultilevel"/>
    <w:tmpl w:val="038C66F2"/>
    <w:lvl w:ilvl="0" w:tplc="F0B0141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E4AF8"/>
    <w:multiLevelType w:val="hybridMultilevel"/>
    <w:tmpl w:val="03DAF9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824B02"/>
    <w:multiLevelType w:val="hybridMultilevel"/>
    <w:tmpl w:val="8E084BB2"/>
    <w:lvl w:ilvl="0" w:tplc="3E6892F8">
      <w:start w:val="1"/>
      <w:numFmt w:val="bullet"/>
      <w:lvlText w:val=""/>
      <w:lvlJc w:val="left"/>
      <w:pPr>
        <w:tabs>
          <w:tab w:val="num" w:pos="720"/>
        </w:tabs>
        <w:ind w:left="720" w:hanging="360"/>
      </w:pPr>
      <w:rPr>
        <w:rFonts w:ascii="Wingdings" w:hAnsi="Wingdings" w:hint="default"/>
      </w:rPr>
    </w:lvl>
    <w:lvl w:ilvl="1" w:tplc="DF2A07E4" w:tentative="1">
      <w:start w:val="1"/>
      <w:numFmt w:val="bullet"/>
      <w:lvlText w:val=""/>
      <w:lvlJc w:val="left"/>
      <w:pPr>
        <w:tabs>
          <w:tab w:val="num" w:pos="1440"/>
        </w:tabs>
        <w:ind w:left="1440" w:hanging="360"/>
      </w:pPr>
      <w:rPr>
        <w:rFonts w:ascii="Wingdings" w:hAnsi="Wingdings" w:hint="default"/>
      </w:rPr>
    </w:lvl>
    <w:lvl w:ilvl="2" w:tplc="1FE0245C" w:tentative="1">
      <w:start w:val="1"/>
      <w:numFmt w:val="bullet"/>
      <w:lvlText w:val=""/>
      <w:lvlJc w:val="left"/>
      <w:pPr>
        <w:tabs>
          <w:tab w:val="num" w:pos="2160"/>
        </w:tabs>
        <w:ind w:left="2160" w:hanging="360"/>
      </w:pPr>
      <w:rPr>
        <w:rFonts w:ascii="Wingdings" w:hAnsi="Wingdings" w:hint="default"/>
      </w:rPr>
    </w:lvl>
    <w:lvl w:ilvl="3" w:tplc="6ACCAE18" w:tentative="1">
      <w:start w:val="1"/>
      <w:numFmt w:val="bullet"/>
      <w:lvlText w:val=""/>
      <w:lvlJc w:val="left"/>
      <w:pPr>
        <w:tabs>
          <w:tab w:val="num" w:pos="2880"/>
        </w:tabs>
        <w:ind w:left="2880" w:hanging="360"/>
      </w:pPr>
      <w:rPr>
        <w:rFonts w:ascii="Wingdings" w:hAnsi="Wingdings" w:hint="default"/>
      </w:rPr>
    </w:lvl>
    <w:lvl w:ilvl="4" w:tplc="666A8212" w:tentative="1">
      <w:start w:val="1"/>
      <w:numFmt w:val="bullet"/>
      <w:lvlText w:val=""/>
      <w:lvlJc w:val="left"/>
      <w:pPr>
        <w:tabs>
          <w:tab w:val="num" w:pos="3600"/>
        </w:tabs>
        <w:ind w:left="3600" w:hanging="360"/>
      </w:pPr>
      <w:rPr>
        <w:rFonts w:ascii="Wingdings" w:hAnsi="Wingdings" w:hint="default"/>
      </w:rPr>
    </w:lvl>
    <w:lvl w:ilvl="5" w:tplc="7C8A28E0" w:tentative="1">
      <w:start w:val="1"/>
      <w:numFmt w:val="bullet"/>
      <w:lvlText w:val=""/>
      <w:lvlJc w:val="left"/>
      <w:pPr>
        <w:tabs>
          <w:tab w:val="num" w:pos="4320"/>
        </w:tabs>
        <w:ind w:left="4320" w:hanging="360"/>
      </w:pPr>
      <w:rPr>
        <w:rFonts w:ascii="Wingdings" w:hAnsi="Wingdings" w:hint="default"/>
      </w:rPr>
    </w:lvl>
    <w:lvl w:ilvl="6" w:tplc="8DA8DF1A" w:tentative="1">
      <w:start w:val="1"/>
      <w:numFmt w:val="bullet"/>
      <w:lvlText w:val=""/>
      <w:lvlJc w:val="left"/>
      <w:pPr>
        <w:tabs>
          <w:tab w:val="num" w:pos="5040"/>
        </w:tabs>
        <w:ind w:left="5040" w:hanging="360"/>
      </w:pPr>
      <w:rPr>
        <w:rFonts w:ascii="Wingdings" w:hAnsi="Wingdings" w:hint="default"/>
      </w:rPr>
    </w:lvl>
    <w:lvl w:ilvl="7" w:tplc="7780FFDE" w:tentative="1">
      <w:start w:val="1"/>
      <w:numFmt w:val="bullet"/>
      <w:lvlText w:val=""/>
      <w:lvlJc w:val="left"/>
      <w:pPr>
        <w:tabs>
          <w:tab w:val="num" w:pos="5760"/>
        </w:tabs>
        <w:ind w:left="5760" w:hanging="360"/>
      </w:pPr>
      <w:rPr>
        <w:rFonts w:ascii="Wingdings" w:hAnsi="Wingdings" w:hint="default"/>
      </w:rPr>
    </w:lvl>
    <w:lvl w:ilvl="8" w:tplc="7EC85206" w:tentative="1">
      <w:start w:val="1"/>
      <w:numFmt w:val="bullet"/>
      <w:lvlText w:val=""/>
      <w:lvlJc w:val="left"/>
      <w:pPr>
        <w:tabs>
          <w:tab w:val="num" w:pos="6480"/>
        </w:tabs>
        <w:ind w:left="6480" w:hanging="360"/>
      </w:pPr>
      <w:rPr>
        <w:rFonts w:ascii="Wingdings" w:hAnsi="Wingdings" w:hint="default"/>
      </w:rPr>
    </w:lvl>
  </w:abstractNum>
  <w:abstractNum w:abstractNumId="7">
    <w:nsid w:val="15BA2BF6"/>
    <w:multiLevelType w:val="hybridMultilevel"/>
    <w:tmpl w:val="58A87E50"/>
    <w:lvl w:ilvl="0" w:tplc="5E5083C8">
      <w:start w:val="1"/>
      <w:numFmt w:val="bullet"/>
      <w:lvlText w:val=""/>
      <w:lvlJc w:val="left"/>
      <w:pPr>
        <w:tabs>
          <w:tab w:val="num" w:pos="720"/>
        </w:tabs>
        <w:ind w:left="720" w:hanging="360"/>
      </w:pPr>
      <w:rPr>
        <w:rFonts w:ascii="Wingdings" w:hAnsi="Wingdings" w:hint="default"/>
      </w:rPr>
    </w:lvl>
    <w:lvl w:ilvl="1" w:tplc="FAE6DE9E" w:tentative="1">
      <w:start w:val="1"/>
      <w:numFmt w:val="bullet"/>
      <w:lvlText w:val=""/>
      <w:lvlJc w:val="left"/>
      <w:pPr>
        <w:tabs>
          <w:tab w:val="num" w:pos="1440"/>
        </w:tabs>
        <w:ind w:left="1440" w:hanging="360"/>
      </w:pPr>
      <w:rPr>
        <w:rFonts w:ascii="Wingdings" w:hAnsi="Wingdings" w:hint="default"/>
      </w:rPr>
    </w:lvl>
    <w:lvl w:ilvl="2" w:tplc="FD10F178" w:tentative="1">
      <w:start w:val="1"/>
      <w:numFmt w:val="bullet"/>
      <w:lvlText w:val=""/>
      <w:lvlJc w:val="left"/>
      <w:pPr>
        <w:tabs>
          <w:tab w:val="num" w:pos="2160"/>
        </w:tabs>
        <w:ind w:left="2160" w:hanging="360"/>
      </w:pPr>
      <w:rPr>
        <w:rFonts w:ascii="Wingdings" w:hAnsi="Wingdings" w:hint="default"/>
      </w:rPr>
    </w:lvl>
    <w:lvl w:ilvl="3" w:tplc="1E782B2A" w:tentative="1">
      <w:start w:val="1"/>
      <w:numFmt w:val="bullet"/>
      <w:lvlText w:val=""/>
      <w:lvlJc w:val="left"/>
      <w:pPr>
        <w:tabs>
          <w:tab w:val="num" w:pos="2880"/>
        </w:tabs>
        <w:ind w:left="2880" w:hanging="360"/>
      </w:pPr>
      <w:rPr>
        <w:rFonts w:ascii="Wingdings" w:hAnsi="Wingdings" w:hint="default"/>
      </w:rPr>
    </w:lvl>
    <w:lvl w:ilvl="4" w:tplc="2F983D90" w:tentative="1">
      <w:start w:val="1"/>
      <w:numFmt w:val="bullet"/>
      <w:lvlText w:val=""/>
      <w:lvlJc w:val="left"/>
      <w:pPr>
        <w:tabs>
          <w:tab w:val="num" w:pos="3600"/>
        </w:tabs>
        <w:ind w:left="3600" w:hanging="360"/>
      </w:pPr>
      <w:rPr>
        <w:rFonts w:ascii="Wingdings" w:hAnsi="Wingdings" w:hint="default"/>
      </w:rPr>
    </w:lvl>
    <w:lvl w:ilvl="5" w:tplc="425E874A" w:tentative="1">
      <w:start w:val="1"/>
      <w:numFmt w:val="bullet"/>
      <w:lvlText w:val=""/>
      <w:lvlJc w:val="left"/>
      <w:pPr>
        <w:tabs>
          <w:tab w:val="num" w:pos="4320"/>
        </w:tabs>
        <w:ind w:left="4320" w:hanging="360"/>
      </w:pPr>
      <w:rPr>
        <w:rFonts w:ascii="Wingdings" w:hAnsi="Wingdings" w:hint="default"/>
      </w:rPr>
    </w:lvl>
    <w:lvl w:ilvl="6" w:tplc="AD9A5E90" w:tentative="1">
      <w:start w:val="1"/>
      <w:numFmt w:val="bullet"/>
      <w:lvlText w:val=""/>
      <w:lvlJc w:val="left"/>
      <w:pPr>
        <w:tabs>
          <w:tab w:val="num" w:pos="5040"/>
        </w:tabs>
        <w:ind w:left="5040" w:hanging="360"/>
      </w:pPr>
      <w:rPr>
        <w:rFonts w:ascii="Wingdings" w:hAnsi="Wingdings" w:hint="default"/>
      </w:rPr>
    </w:lvl>
    <w:lvl w:ilvl="7" w:tplc="275E9D2A" w:tentative="1">
      <w:start w:val="1"/>
      <w:numFmt w:val="bullet"/>
      <w:lvlText w:val=""/>
      <w:lvlJc w:val="left"/>
      <w:pPr>
        <w:tabs>
          <w:tab w:val="num" w:pos="5760"/>
        </w:tabs>
        <w:ind w:left="5760" w:hanging="360"/>
      </w:pPr>
      <w:rPr>
        <w:rFonts w:ascii="Wingdings" w:hAnsi="Wingdings" w:hint="default"/>
      </w:rPr>
    </w:lvl>
    <w:lvl w:ilvl="8" w:tplc="FC305708" w:tentative="1">
      <w:start w:val="1"/>
      <w:numFmt w:val="bullet"/>
      <w:lvlText w:val=""/>
      <w:lvlJc w:val="left"/>
      <w:pPr>
        <w:tabs>
          <w:tab w:val="num" w:pos="6480"/>
        </w:tabs>
        <w:ind w:left="6480" w:hanging="360"/>
      </w:pPr>
      <w:rPr>
        <w:rFonts w:ascii="Wingdings" w:hAnsi="Wingdings" w:hint="default"/>
      </w:rPr>
    </w:lvl>
  </w:abstractNum>
  <w:abstractNum w:abstractNumId="8">
    <w:nsid w:val="168105F7"/>
    <w:multiLevelType w:val="hybridMultilevel"/>
    <w:tmpl w:val="2488D09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351BF"/>
    <w:multiLevelType w:val="hybridMultilevel"/>
    <w:tmpl w:val="737E4824"/>
    <w:lvl w:ilvl="0" w:tplc="4F1C5F24">
      <w:start w:val="1"/>
      <w:numFmt w:val="upp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D21D23"/>
    <w:multiLevelType w:val="hybridMultilevel"/>
    <w:tmpl w:val="496C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A0F99"/>
    <w:multiLevelType w:val="hybridMultilevel"/>
    <w:tmpl w:val="04660E96"/>
    <w:lvl w:ilvl="0" w:tplc="CE14861A">
      <w:start w:val="1"/>
      <w:numFmt w:val="decimal"/>
      <w:lvlText w:val="%1."/>
      <w:lvlJc w:val="left"/>
      <w:pPr>
        <w:tabs>
          <w:tab w:val="num" w:pos="720"/>
        </w:tabs>
        <w:ind w:left="720" w:hanging="360"/>
      </w:pPr>
    </w:lvl>
    <w:lvl w:ilvl="1" w:tplc="FE56B9D0">
      <w:start w:val="43"/>
      <w:numFmt w:val="bullet"/>
      <w:lvlText w:val="-"/>
      <w:lvlJc w:val="left"/>
      <w:pPr>
        <w:tabs>
          <w:tab w:val="num" w:pos="1440"/>
        </w:tabs>
        <w:ind w:left="1440" w:hanging="360"/>
      </w:pPr>
      <w:rPr>
        <w:rFonts w:ascii="Lucida Grande" w:hAnsi="Lucida Grande" w:hint="default"/>
      </w:rPr>
    </w:lvl>
    <w:lvl w:ilvl="2" w:tplc="156C2B9C" w:tentative="1">
      <w:start w:val="1"/>
      <w:numFmt w:val="decimal"/>
      <w:lvlText w:val="%3."/>
      <w:lvlJc w:val="left"/>
      <w:pPr>
        <w:tabs>
          <w:tab w:val="num" w:pos="2160"/>
        </w:tabs>
        <w:ind w:left="2160" w:hanging="360"/>
      </w:pPr>
    </w:lvl>
    <w:lvl w:ilvl="3" w:tplc="6F569058" w:tentative="1">
      <w:start w:val="1"/>
      <w:numFmt w:val="decimal"/>
      <w:lvlText w:val="%4."/>
      <w:lvlJc w:val="left"/>
      <w:pPr>
        <w:tabs>
          <w:tab w:val="num" w:pos="2880"/>
        </w:tabs>
        <w:ind w:left="2880" w:hanging="360"/>
      </w:pPr>
    </w:lvl>
    <w:lvl w:ilvl="4" w:tplc="E96C8C74" w:tentative="1">
      <w:start w:val="1"/>
      <w:numFmt w:val="decimal"/>
      <w:lvlText w:val="%5."/>
      <w:lvlJc w:val="left"/>
      <w:pPr>
        <w:tabs>
          <w:tab w:val="num" w:pos="3600"/>
        </w:tabs>
        <w:ind w:left="3600" w:hanging="360"/>
      </w:pPr>
    </w:lvl>
    <w:lvl w:ilvl="5" w:tplc="E4E6CE7C" w:tentative="1">
      <w:start w:val="1"/>
      <w:numFmt w:val="decimal"/>
      <w:lvlText w:val="%6."/>
      <w:lvlJc w:val="left"/>
      <w:pPr>
        <w:tabs>
          <w:tab w:val="num" w:pos="4320"/>
        </w:tabs>
        <w:ind w:left="4320" w:hanging="360"/>
      </w:pPr>
    </w:lvl>
    <w:lvl w:ilvl="6" w:tplc="16AE79AE" w:tentative="1">
      <w:start w:val="1"/>
      <w:numFmt w:val="decimal"/>
      <w:lvlText w:val="%7."/>
      <w:lvlJc w:val="left"/>
      <w:pPr>
        <w:tabs>
          <w:tab w:val="num" w:pos="5040"/>
        </w:tabs>
        <w:ind w:left="5040" w:hanging="360"/>
      </w:pPr>
    </w:lvl>
    <w:lvl w:ilvl="7" w:tplc="6CD22014" w:tentative="1">
      <w:start w:val="1"/>
      <w:numFmt w:val="decimal"/>
      <w:lvlText w:val="%8."/>
      <w:lvlJc w:val="left"/>
      <w:pPr>
        <w:tabs>
          <w:tab w:val="num" w:pos="5760"/>
        </w:tabs>
        <w:ind w:left="5760" w:hanging="360"/>
      </w:pPr>
    </w:lvl>
    <w:lvl w:ilvl="8" w:tplc="ECC271A6" w:tentative="1">
      <w:start w:val="1"/>
      <w:numFmt w:val="decimal"/>
      <w:lvlText w:val="%9."/>
      <w:lvlJc w:val="left"/>
      <w:pPr>
        <w:tabs>
          <w:tab w:val="num" w:pos="6480"/>
        </w:tabs>
        <w:ind w:left="6480" w:hanging="360"/>
      </w:pPr>
    </w:lvl>
  </w:abstractNum>
  <w:abstractNum w:abstractNumId="12">
    <w:nsid w:val="252D78FC"/>
    <w:multiLevelType w:val="hybridMultilevel"/>
    <w:tmpl w:val="81785F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2A3F22"/>
    <w:multiLevelType w:val="hybridMultilevel"/>
    <w:tmpl w:val="B4B8A36A"/>
    <w:lvl w:ilvl="0" w:tplc="6D5A8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676C1"/>
    <w:multiLevelType w:val="hybridMultilevel"/>
    <w:tmpl w:val="74BA8AE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2D0223"/>
    <w:multiLevelType w:val="hybridMultilevel"/>
    <w:tmpl w:val="2FFA1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BC539D"/>
    <w:multiLevelType w:val="hybridMultilevel"/>
    <w:tmpl w:val="E38862BA"/>
    <w:lvl w:ilvl="0" w:tplc="C4FA6436">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A43772"/>
    <w:multiLevelType w:val="hybridMultilevel"/>
    <w:tmpl w:val="AECC3A4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DF3F70"/>
    <w:multiLevelType w:val="multilevel"/>
    <w:tmpl w:val="B7A4914E"/>
    <w:lvl w:ilvl="0">
      <w:start w:val="2"/>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EE6403B"/>
    <w:multiLevelType w:val="hybridMultilevel"/>
    <w:tmpl w:val="74BA8AE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545C04"/>
    <w:multiLevelType w:val="hybridMultilevel"/>
    <w:tmpl w:val="6C20A6DA"/>
    <w:lvl w:ilvl="0" w:tplc="0B145E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2A57F94"/>
    <w:multiLevelType w:val="hybridMultilevel"/>
    <w:tmpl w:val="E378F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AF66EA"/>
    <w:multiLevelType w:val="hybridMultilevel"/>
    <w:tmpl w:val="BAC48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C12F40"/>
    <w:multiLevelType w:val="hybridMultilevel"/>
    <w:tmpl w:val="2488D09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997FBA"/>
    <w:multiLevelType w:val="hybridMultilevel"/>
    <w:tmpl w:val="9B3CC22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4879014B"/>
    <w:multiLevelType w:val="hybridMultilevel"/>
    <w:tmpl w:val="949226D0"/>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F110B8A"/>
    <w:multiLevelType w:val="hybridMultilevel"/>
    <w:tmpl w:val="7F52F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E25773"/>
    <w:multiLevelType w:val="hybridMultilevel"/>
    <w:tmpl w:val="4C5AA14E"/>
    <w:lvl w:ilvl="0" w:tplc="B568DC12">
      <w:start w:val="1"/>
      <w:numFmt w:val="bullet"/>
      <w:lvlText w:val=""/>
      <w:lvlJc w:val="left"/>
      <w:pPr>
        <w:tabs>
          <w:tab w:val="num" w:pos="720"/>
        </w:tabs>
        <w:ind w:left="720" w:hanging="360"/>
      </w:pPr>
      <w:rPr>
        <w:rFonts w:ascii="Wingdings" w:hAnsi="Wingdings" w:hint="default"/>
      </w:rPr>
    </w:lvl>
    <w:lvl w:ilvl="1" w:tplc="5FC46870" w:tentative="1">
      <w:start w:val="1"/>
      <w:numFmt w:val="bullet"/>
      <w:lvlText w:val=""/>
      <w:lvlJc w:val="left"/>
      <w:pPr>
        <w:tabs>
          <w:tab w:val="num" w:pos="1440"/>
        </w:tabs>
        <w:ind w:left="1440" w:hanging="360"/>
      </w:pPr>
      <w:rPr>
        <w:rFonts w:ascii="Wingdings" w:hAnsi="Wingdings" w:hint="default"/>
      </w:rPr>
    </w:lvl>
    <w:lvl w:ilvl="2" w:tplc="1FD243F0" w:tentative="1">
      <w:start w:val="1"/>
      <w:numFmt w:val="bullet"/>
      <w:lvlText w:val=""/>
      <w:lvlJc w:val="left"/>
      <w:pPr>
        <w:tabs>
          <w:tab w:val="num" w:pos="2160"/>
        </w:tabs>
        <w:ind w:left="2160" w:hanging="360"/>
      </w:pPr>
      <w:rPr>
        <w:rFonts w:ascii="Wingdings" w:hAnsi="Wingdings" w:hint="default"/>
      </w:rPr>
    </w:lvl>
    <w:lvl w:ilvl="3" w:tplc="CC44C618" w:tentative="1">
      <w:start w:val="1"/>
      <w:numFmt w:val="bullet"/>
      <w:lvlText w:val=""/>
      <w:lvlJc w:val="left"/>
      <w:pPr>
        <w:tabs>
          <w:tab w:val="num" w:pos="2880"/>
        </w:tabs>
        <w:ind w:left="2880" w:hanging="360"/>
      </w:pPr>
      <w:rPr>
        <w:rFonts w:ascii="Wingdings" w:hAnsi="Wingdings" w:hint="default"/>
      </w:rPr>
    </w:lvl>
    <w:lvl w:ilvl="4" w:tplc="0046E162" w:tentative="1">
      <w:start w:val="1"/>
      <w:numFmt w:val="bullet"/>
      <w:lvlText w:val=""/>
      <w:lvlJc w:val="left"/>
      <w:pPr>
        <w:tabs>
          <w:tab w:val="num" w:pos="3600"/>
        </w:tabs>
        <w:ind w:left="3600" w:hanging="360"/>
      </w:pPr>
      <w:rPr>
        <w:rFonts w:ascii="Wingdings" w:hAnsi="Wingdings" w:hint="default"/>
      </w:rPr>
    </w:lvl>
    <w:lvl w:ilvl="5" w:tplc="12EC420A" w:tentative="1">
      <w:start w:val="1"/>
      <w:numFmt w:val="bullet"/>
      <w:lvlText w:val=""/>
      <w:lvlJc w:val="left"/>
      <w:pPr>
        <w:tabs>
          <w:tab w:val="num" w:pos="4320"/>
        </w:tabs>
        <w:ind w:left="4320" w:hanging="360"/>
      </w:pPr>
      <w:rPr>
        <w:rFonts w:ascii="Wingdings" w:hAnsi="Wingdings" w:hint="default"/>
      </w:rPr>
    </w:lvl>
    <w:lvl w:ilvl="6" w:tplc="D89C7C8C" w:tentative="1">
      <w:start w:val="1"/>
      <w:numFmt w:val="bullet"/>
      <w:lvlText w:val=""/>
      <w:lvlJc w:val="left"/>
      <w:pPr>
        <w:tabs>
          <w:tab w:val="num" w:pos="5040"/>
        </w:tabs>
        <w:ind w:left="5040" w:hanging="360"/>
      </w:pPr>
      <w:rPr>
        <w:rFonts w:ascii="Wingdings" w:hAnsi="Wingdings" w:hint="default"/>
      </w:rPr>
    </w:lvl>
    <w:lvl w:ilvl="7" w:tplc="A55C416A" w:tentative="1">
      <w:start w:val="1"/>
      <w:numFmt w:val="bullet"/>
      <w:lvlText w:val=""/>
      <w:lvlJc w:val="left"/>
      <w:pPr>
        <w:tabs>
          <w:tab w:val="num" w:pos="5760"/>
        </w:tabs>
        <w:ind w:left="5760" w:hanging="360"/>
      </w:pPr>
      <w:rPr>
        <w:rFonts w:ascii="Wingdings" w:hAnsi="Wingdings" w:hint="default"/>
      </w:rPr>
    </w:lvl>
    <w:lvl w:ilvl="8" w:tplc="E12868BE" w:tentative="1">
      <w:start w:val="1"/>
      <w:numFmt w:val="bullet"/>
      <w:lvlText w:val=""/>
      <w:lvlJc w:val="left"/>
      <w:pPr>
        <w:tabs>
          <w:tab w:val="num" w:pos="6480"/>
        </w:tabs>
        <w:ind w:left="6480" w:hanging="360"/>
      </w:pPr>
      <w:rPr>
        <w:rFonts w:ascii="Wingdings" w:hAnsi="Wingdings" w:hint="default"/>
      </w:rPr>
    </w:lvl>
  </w:abstractNum>
  <w:abstractNum w:abstractNumId="28">
    <w:nsid w:val="538A1B3E"/>
    <w:multiLevelType w:val="hybridMultilevel"/>
    <w:tmpl w:val="58C03274"/>
    <w:lvl w:ilvl="0" w:tplc="BFE09DA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B75F5D"/>
    <w:multiLevelType w:val="hybridMultilevel"/>
    <w:tmpl w:val="904C4F1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8807DA"/>
    <w:multiLevelType w:val="hybridMultilevel"/>
    <w:tmpl w:val="EE7A6B6E"/>
    <w:lvl w:ilvl="0" w:tplc="D6809C8E">
      <w:start w:val="1"/>
      <w:numFmt w:val="bullet"/>
      <w:lvlText w:val=""/>
      <w:lvlJc w:val="left"/>
      <w:pPr>
        <w:tabs>
          <w:tab w:val="num" w:pos="720"/>
        </w:tabs>
        <w:ind w:left="720" w:hanging="360"/>
      </w:pPr>
      <w:rPr>
        <w:rFonts w:ascii="Wingdings" w:hAnsi="Wingdings" w:hint="default"/>
      </w:rPr>
    </w:lvl>
    <w:lvl w:ilvl="1" w:tplc="6128A79E" w:tentative="1">
      <w:start w:val="1"/>
      <w:numFmt w:val="bullet"/>
      <w:lvlText w:val=""/>
      <w:lvlJc w:val="left"/>
      <w:pPr>
        <w:tabs>
          <w:tab w:val="num" w:pos="1440"/>
        </w:tabs>
        <w:ind w:left="1440" w:hanging="360"/>
      </w:pPr>
      <w:rPr>
        <w:rFonts w:ascii="Wingdings" w:hAnsi="Wingdings" w:hint="default"/>
      </w:rPr>
    </w:lvl>
    <w:lvl w:ilvl="2" w:tplc="CE4CC9DA" w:tentative="1">
      <w:start w:val="1"/>
      <w:numFmt w:val="bullet"/>
      <w:lvlText w:val=""/>
      <w:lvlJc w:val="left"/>
      <w:pPr>
        <w:tabs>
          <w:tab w:val="num" w:pos="2160"/>
        </w:tabs>
        <w:ind w:left="2160" w:hanging="360"/>
      </w:pPr>
      <w:rPr>
        <w:rFonts w:ascii="Wingdings" w:hAnsi="Wingdings" w:hint="default"/>
      </w:rPr>
    </w:lvl>
    <w:lvl w:ilvl="3" w:tplc="28106EAA" w:tentative="1">
      <w:start w:val="1"/>
      <w:numFmt w:val="bullet"/>
      <w:lvlText w:val=""/>
      <w:lvlJc w:val="left"/>
      <w:pPr>
        <w:tabs>
          <w:tab w:val="num" w:pos="2880"/>
        </w:tabs>
        <w:ind w:left="2880" w:hanging="360"/>
      </w:pPr>
      <w:rPr>
        <w:rFonts w:ascii="Wingdings" w:hAnsi="Wingdings" w:hint="default"/>
      </w:rPr>
    </w:lvl>
    <w:lvl w:ilvl="4" w:tplc="F2C64D40" w:tentative="1">
      <w:start w:val="1"/>
      <w:numFmt w:val="bullet"/>
      <w:lvlText w:val=""/>
      <w:lvlJc w:val="left"/>
      <w:pPr>
        <w:tabs>
          <w:tab w:val="num" w:pos="3600"/>
        </w:tabs>
        <w:ind w:left="3600" w:hanging="360"/>
      </w:pPr>
      <w:rPr>
        <w:rFonts w:ascii="Wingdings" w:hAnsi="Wingdings" w:hint="default"/>
      </w:rPr>
    </w:lvl>
    <w:lvl w:ilvl="5" w:tplc="EF2ACFA6" w:tentative="1">
      <w:start w:val="1"/>
      <w:numFmt w:val="bullet"/>
      <w:lvlText w:val=""/>
      <w:lvlJc w:val="left"/>
      <w:pPr>
        <w:tabs>
          <w:tab w:val="num" w:pos="4320"/>
        </w:tabs>
        <w:ind w:left="4320" w:hanging="360"/>
      </w:pPr>
      <w:rPr>
        <w:rFonts w:ascii="Wingdings" w:hAnsi="Wingdings" w:hint="default"/>
      </w:rPr>
    </w:lvl>
    <w:lvl w:ilvl="6" w:tplc="A8845F90" w:tentative="1">
      <w:start w:val="1"/>
      <w:numFmt w:val="bullet"/>
      <w:lvlText w:val=""/>
      <w:lvlJc w:val="left"/>
      <w:pPr>
        <w:tabs>
          <w:tab w:val="num" w:pos="5040"/>
        </w:tabs>
        <w:ind w:left="5040" w:hanging="360"/>
      </w:pPr>
      <w:rPr>
        <w:rFonts w:ascii="Wingdings" w:hAnsi="Wingdings" w:hint="default"/>
      </w:rPr>
    </w:lvl>
    <w:lvl w:ilvl="7" w:tplc="8D44CBC4" w:tentative="1">
      <w:start w:val="1"/>
      <w:numFmt w:val="bullet"/>
      <w:lvlText w:val=""/>
      <w:lvlJc w:val="left"/>
      <w:pPr>
        <w:tabs>
          <w:tab w:val="num" w:pos="5760"/>
        </w:tabs>
        <w:ind w:left="5760" w:hanging="360"/>
      </w:pPr>
      <w:rPr>
        <w:rFonts w:ascii="Wingdings" w:hAnsi="Wingdings" w:hint="default"/>
      </w:rPr>
    </w:lvl>
    <w:lvl w:ilvl="8" w:tplc="B91E3A1E" w:tentative="1">
      <w:start w:val="1"/>
      <w:numFmt w:val="bullet"/>
      <w:lvlText w:val=""/>
      <w:lvlJc w:val="left"/>
      <w:pPr>
        <w:tabs>
          <w:tab w:val="num" w:pos="6480"/>
        </w:tabs>
        <w:ind w:left="6480" w:hanging="360"/>
      </w:pPr>
      <w:rPr>
        <w:rFonts w:ascii="Wingdings" w:hAnsi="Wingdings" w:hint="default"/>
      </w:rPr>
    </w:lvl>
  </w:abstractNum>
  <w:abstractNum w:abstractNumId="31">
    <w:nsid w:val="60143B2E"/>
    <w:multiLevelType w:val="hybridMultilevel"/>
    <w:tmpl w:val="3ED2793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614E4F"/>
    <w:multiLevelType w:val="hybridMultilevel"/>
    <w:tmpl w:val="D1AEB4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64FF47E8"/>
    <w:multiLevelType w:val="hybridMultilevel"/>
    <w:tmpl w:val="B9407F7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242A62"/>
    <w:multiLevelType w:val="hybridMultilevel"/>
    <w:tmpl w:val="7B8C37E2"/>
    <w:lvl w:ilvl="0" w:tplc="3518259E">
      <w:start w:val="1"/>
      <w:numFmt w:val="bullet"/>
      <w:lvlText w:val=""/>
      <w:lvlJc w:val="left"/>
      <w:pPr>
        <w:tabs>
          <w:tab w:val="num" w:pos="720"/>
        </w:tabs>
        <w:ind w:left="720" w:hanging="360"/>
      </w:pPr>
      <w:rPr>
        <w:rFonts w:ascii="Wingdings" w:hAnsi="Wingdings" w:hint="default"/>
      </w:rPr>
    </w:lvl>
    <w:lvl w:ilvl="1" w:tplc="A4AE22E8" w:tentative="1">
      <w:start w:val="1"/>
      <w:numFmt w:val="bullet"/>
      <w:lvlText w:val=""/>
      <w:lvlJc w:val="left"/>
      <w:pPr>
        <w:tabs>
          <w:tab w:val="num" w:pos="1440"/>
        </w:tabs>
        <w:ind w:left="1440" w:hanging="360"/>
      </w:pPr>
      <w:rPr>
        <w:rFonts w:ascii="Wingdings" w:hAnsi="Wingdings" w:hint="default"/>
      </w:rPr>
    </w:lvl>
    <w:lvl w:ilvl="2" w:tplc="99FCEEFC" w:tentative="1">
      <w:start w:val="1"/>
      <w:numFmt w:val="bullet"/>
      <w:lvlText w:val=""/>
      <w:lvlJc w:val="left"/>
      <w:pPr>
        <w:tabs>
          <w:tab w:val="num" w:pos="2160"/>
        </w:tabs>
        <w:ind w:left="2160" w:hanging="360"/>
      </w:pPr>
      <w:rPr>
        <w:rFonts w:ascii="Wingdings" w:hAnsi="Wingdings" w:hint="default"/>
      </w:rPr>
    </w:lvl>
    <w:lvl w:ilvl="3" w:tplc="C074D87E" w:tentative="1">
      <w:start w:val="1"/>
      <w:numFmt w:val="bullet"/>
      <w:lvlText w:val=""/>
      <w:lvlJc w:val="left"/>
      <w:pPr>
        <w:tabs>
          <w:tab w:val="num" w:pos="2880"/>
        </w:tabs>
        <w:ind w:left="2880" w:hanging="360"/>
      </w:pPr>
      <w:rPr>
        <w:rFonts w:ascii="Wingdings" w:hAnsi="Wingdings" w:hint="default"/>
      </w:rPr>
    </w:lvl>
    <w:lvl w:ilvl="4" w:tplc="DD3CFE0A" w:tentative="1">
      <w:start w:val="1"/>
      <w:numFmt w:val="bullet"/>
      <w:lvlText w:val=""/>
      <w:lvlJc w:val="left"/>
      <w:pPr>
        <w:tabs>
          <w:tab w:val="num" w:pos="3600"/>
        </w:tabs>
        <w:ind w:left="3600" w:hanging="360"/>
      </w:pPr>
      <w:rPr>
        <w:rFonts w:ascii="Wingdings" w:hAnsi="Wingdings" w:hint="default"/>
      </w:rPr>
    </w:lvl>
    <w:lvl w:ilvl="5" w:tplc="5DB45510" w:tentative="1">
      <w:start w:val="1"/>
      <w:numFmt w:val="bullet"/>
      <w:lvlText w:val=""/>
      <w:lvlJc w:val="left"/>
      <w:pPr>
        <w:tabs>
          <w:tab w:val="num" w:pos="4320"/>
        </w:tabs>
        <w:ind w:left="4320" w:hanging="360"/>
      </w:pPr>
      <w:rPr>
        <w:rFonts w:ascii="Wingdings" w:hAnsi="Wingdings" w:hint="default"/>
      </w:rPr>
    </w:lvl>
    <w:lvl w:ilvl="6" w:tplc="A71087D4" w:tentative="1">
      <w:start w:val="1"/>
      <w:numFmt w:val="bullet"/>
      <w:lvlText w:val=""/>
      <w:lvlJc w:val="left"/>
      <w:pPr>
        <w:tabs>
          <w:tab w:val="num" w:pos="5040"/>
        </w:tabs>
        <w:ind w:left="5040" w:hanging="360"/>
      </w:pPr>
      <w:rPr>
        <w:rFonts w:ascii="Wingdings" w:hAnsi="Wingdings" w:hint="default"/>
      </w:rPr>
    </w:lvl>
    <w:lvl w:ilvl="7" w:tplc="2EFE2E1A" w:tentative="1">
      <w:start w:val="1"/>
      <w:numFmt w:val="bullet"/>
      <w:lvlText w:val=""/>
      <w:lvlJc w:val="left"/>
      <w:pPr>
        <w:tabs>
          <w:tab w:val="num" w:pos="5760"/>
        </w:tabs>
        <w:ind w:left="5760" w:hanging="360"/>
      </w:pPr>
      <w:rPr>
        <w:rFonts w:ascii="Wingdings" w:hAnsi="Wingdings" w:hint="default"/>
      </w:rPr>
    </w:lvl>
    <w:lvl w:ilvl="8" w:tplc="1B529B12" w:tentative="1">
      <w:start w:val="1"/>
      <w:numFmt w:val="bullet"/>
      <w:lvlText w:val=""/>
      <w:lvlJc w:val="left"/>
      <w:pPr>
        <w:tabs>
          <w:tab w:val="num" w:pos="6480"/>
        </w:tabs>
        <w:ind w:left="6480" w:hanging="360"/>
      </w:pPr>
      <w:rPr>
        <w:rFonts w:ascii="Wingdings" w:hAnsi="Wingdings" w:hint="default"/>
      </w:rPr>
    </w:lvl>
  </w:abstractNum>
  <w:abstractNum w:abstractNumId="35">
    <w:nsid w:val="6A9E02F7"/>
    <w:multiLevelType w:val="hybridMultilevel"/>
    <w:tmpl w:val="C78E3C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F309C3"/>
    <w:multiLevelType w:val="hybridMultilevel"/>
    <w:tmpl w:val="6CEE7796"/>
    <w:lvl w:ilvl="0" w:tplc="1626F5F2">
      <w:start w:val="1"/>
      <w:numFmt w:val="bullet"/>
      <w:lvlText w:val=""/>
      <w:lvlJc w:val="left"/>
      <w:pPr>
        <w:tabs>
          <w:tab w:val="num" w:pos="720"/>
        </w:tabs>
        <w:ind w:left="720" w:hanging="360"/>
      </w:pPr>
      <w:rPr>
        <w:rFonts w:ascii="Wingdings" w:hAnsi="Wingdings" w:hint="default"/>
      </w:rPr>
    </w:lvl>
    <w:lvl w:ilvl="1" w:tplc="C826F26C" w:tentative="1">
      <w:start w:val="1"/>
      <w:numFmt w:val="bullet"/>
      <w:lvlText w:val=""/>
      <w:lvlJc w:val="left"/>
      <w:pPr>
        <w:tabs>
          <w:tab w:val="num" w:pos="1440"/>
        </w:tabs>
        <w:ind w:left="1440" w:hanging="360"/>
      </w:pPr>
      <w:rPr>
        <w:rFonts w:ascii="Wingdings" w:hAnsi="Wingdings" w:hint="default"/>
      </w:rPr>
    </w:lvl>
    <w:lvl w:ilvl="2" w:tplc="CD8ACE38" w:tentative="1">
      <w:start w:val="1"/>
      <w:numFmt w:val="bullet"/>
      <w:lvlText w:val=""/>
      <w:lvlJc w:val="left"/>
      <w:pPr>
        <w:tabs>
          <w:tab w:val="num" w:pos="2160"/>
        </w:tabs>
        <w:ind w:left="2160" w:hanging="360"/>
      </w:pPr>
      <w:rPr>
        <w:rFonts w:ascii="Wingdings" w:hAnsi="Wingdings" w:hint="default"/>
      </w:rPr>
    </w:lvl>
    <w:lvl w:ilvl="3" w:tplc="E116C42A" w:tentative="1">
      <w:start w:val="1"/>
      <w:numFmt w:val="bullet"/>
      <w:lvlText w:val=""/>
      <w:lvlJc w:val="left"/>
      <w:pPr>
        <w:tabs>
          <w:tab w:val="num" w:pos="2880"/>
        </w:tabs>
        <w:ind w:left="2880" w:hanging="360"/>
      </w:pPr>
      <w:rPr>
        <w:rFonts w:ascii="Wingdings" w:hAnsi="Wingdings" w:hint="default"/>
      </w:rPr>
    </w:lvl>
    <w:lvl w:ilvl="4" w:tplc="F6187BBC" w:tentative="1">
      <w:start w:val="1"/>
      <w:numFmt w:val="bullet"/>
      <w:lvlText w:val=""/>
      <w:lvlJc w:val="left"/>
      <w:pPr>
        <w:tabs>
          <w:tab w:val="num" w:pos="3600"/>
        </w:tabs>
        <w:ind w:left="3600" w:hanging="360"/>
      </w:pPr>
      <w:rPr>
        <w:rFonts w:ascii="Wingdings" w:hAnsi="Wingdings" w:hint="default"/>
      </w:rPr>
    </w:lvl>
    <w:lvl w:ilvl="5" w:tplc="3706331C" w:tentative="1">
      <w:start w:val="1"/>
      <w:numFmt w:val="bullet"/>
      <w:lvlText w:val=""/>
      <w:lvlJc w:val="left"/>
      <w:pPr>
        <w:tabs>
          <w:tab w:val="num" w:pos="4320"/>
        </w:tabs>
        <w:ind w:left="4320" w:hanging="360"/>
      </w:pPr>
      <w:rPr>
        <w:rFonts w:ascii="Wingdings" w:hAnsi="Wingdings" w:hint="default"/>
      </w:rPr>
    </w:lvl>
    <w:lvl w:ilvl="6" w:tplc="1CCC04F8" w:tentative="1">
      <w:start w:val="1"/>
      <w:numFmt w:val="bullet"/>
      <w:lvlText w:val=""/>
      <w:lvlJc w:val="left"/>
      <w:pPr>
        <w:tabs>
          <w:tab w:val="num" w:pos="5040"/>
        </w:tabs>
        <w:ind w:left="5040" w:hanging="360"/>
      </w:pPr>
      <w:rPr>
        <w:rFonts w:ascii="Wingdings" w:hAnsi="Wingdings" w:hint="default"/>
      </w:rPr>
    </w:lvl>
    <w:lvl w:ilvl="7" w:tplc="03148002" w:tentative="1">
      <w:start w:val="1"/>
      <w:numFmt w:val="bullet"/>
      <w:lvlText w:val=""/>
      <w:lvlJc w:val="left"/>
      <w:pPr>
        <w:tabs>
          <w:tab w:val="num" w:pos="5760"/>
        </w:tabs>
        <w:ind w:left="5760" w:hanging="360"/>
      </w:pPr>
      <w:rPr>
        <w:rFonts w:ascii="Wingdings" w:hAnsi="Wingdings" w:hint="default"/>
      </w:rPr>
    </w:lvl>
    <w:lvl w:ilvl="8" w:tplc="62F83A52" w:tentative="1">
      <w:start w:val="1"/>
      <w:numFmt w:val="bullet"/>
      <w:lvlText w:val=""/>
      <w:lvlJc w:val="left"/>
      <w:pPr>
        <w:tabs>
          <w:tab w:val="num" w:pos="6480"/>
        </w:tabs>
        <w:ind w:left="6480" w:hanging="360"/>
      </w:pPr>
      <w:rPr>
        <w:rFonts w:ascii="Wingdings" w:hAnsi="Wingdings" w:hint="default"/>
      </w:rPr>
    </w:lvl>
  </w:abstractNum>
  <w:abstractNum w:abstractNumId="37">
    <w:nsid w:val="72893A07"/>
    <w:multiLevelType w:val="hybridMultilevel"/>
    <w:tmpl w:val="9AF2CD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B33EA6"/>
    <w:multiLevelType w:val="hybridMultilevel"/>
    <w:tmpl w:val="74BA8AE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E7765A"/>
    <w:multiLevelType w:val="hybridMultilevel"/>
    <w:tmpl w:val="69683AB0"/>
    <w:lvl w:ilvl="0" w:tplc="FB5E0250">
      <w:start w:val="1"/>
      <w:numFmt w:val="bullet"/>
      <w:lvlText w:val=""/>
      <w:lvlJc w:val="left"/>
      <w:pPr>
        <w:tabs>
          <w:tab w:val="num" w:pos="720"/>
        </w:tabs>
        <w:ind w:left="720" w:hanging="360"/>
      </w:pPr>
      <w:rPr>
        <w:rFonts w:ascii="Wingdings" w:hAnsi="Wingdings" w:hint="default"/>
      </w:rPr>
    </w:lvl>
    <w:lvl w:ilvl="1" w:tplc="FF12FB1E" w:tentative="1">
      <w:start w:val="1"/>
      <w:numFmt w:val="bullet"/>
      <w:lvlText w:val=""/>
      <w:lvlJc w:val="left"/>
      <w:pPr>
        <w:tabs>
          <w:tab w:val="num" w:pos="1440"/>
        </w:tabs>
        <w:ind w:left="1440" w:hanging="360"/>
      </w:pPr>
      <w:rPr>
        <w:rFonts w:ascii="Wingdings" w:hAnsi="Wingdings" w:hint="default"/>
      </w:rPr>
    </w:lvl>
    <w:lvl w:ilvl="2" w:tplc="73C0EEBA" w:tentative="1">
      <w:start w:val="1"/>
      <w:numFmt w:val="bullet"/>
      <w:lvlText w:val=""/>
      <w:lvlJc w:val="left"/>
      <w:pPr>
        <w:tabs>
          <w:tab w:val="num" w:pos="2160"/>
        </w:tabs>
        <w:ind w:left="2160" w:hanging="360"/>
      </w:pPr>
      <w:rPr>
        <w:rFonts w:ascii="Wingdings" w:hAnsi="Wingdings" w:hint="default"/>
      </w:rPr>
    </w:lvl>
    <w:lvl w:ilvl="3" w:tplc="03868660" w:tentative="1">
      <w:start w:val="1"/>
      <w:numFmt w:val="bullet"/>
      <w:lvlText w:val=""/>
      <w:lvlJc w:val="left"/>
      <w:pPr>
        <w:tabs>
          <w:tab w:val="num" w:pos="2880"/>
        </w:tabs>
        <w:ind w:left="2880" w:hanging="360"/>
      </w:pPr>
      <w:rPr>
        <w:rFonts w:ascii="Wingdings" w:hAnsi="Wingdings" w:hint="default"/>
      </w:rPr>
    </w:lvl>
    <w:lvl w:ilvl="4" w:tplc="7A6888CE" w:tentative="1">
      <w:start w:val="1"/>
      <w:numFmt w:val="bullet"/>
      <w:lvlText w:val=""/>
      <w:lvlJc w:val="left"/>
      <w:pPr>
        <w:tabs>
          <w:tab w:val="num" w:pos="3600"/>
        </w:tabs>
        <w:ind w:left="3600" w:hanging="360"/>
      </w:pPr>
      <w:rPr>
        <w:rFonts w:ascii="Wingdings" w:hAnsi="Wingdings" w:hint="default"/>
      </w:rPr>
    </w:lvl>
    <w:lvl w:ilvl="5" w:tplc="D8A017B8" w:tentative="1">
      <w:start w:val="1"/>
      <w:numFmt w:val="bullet"/>
      <w:lvlText w:val=""/>
      <w:lvlJc w:val="left"/>
      <w:pPr>
        <w:tabs>
          <w:tab w:val="num" w:pos="4320"/>
        </w:tabs>
        <w:ind w:left="4320" w:hanging="360"/>
      </w:pPr>
      <w:rPr>
        <w:rFonts w:ascii="Wingdings" w:hAnsi="Wingdings" w:hint="default"/>
      </w:rPr>
    </w:lvl>
    <w:lvl w:ilvl="6" w:tplc="63229CBC" w:tentative="1">
      <w:start w:val="1"/>
      <w:numFmt w:val="bullet"/>
      <w:lvlText w:val=""/>
      <w:lvlJc w:val="left"/>
      <w:pPr>
        <w:tabs>
          <w:tab w:val="num" w:pos="5040"/>
        </w:tabs>
        <w:ind w:left="5040" w:hanging="360"/>
      </w:pPr>
      <w:rPr>
        <w:rFonts w:ascii="Wingdings" w:hAnsi="Wingdings" w:hint="default"/>
      </w:rPr>
    </w:lvl>
    <w:lvl w:ilvl="7" w:tplc="7212867E" w:tentative="1">
      <w:start w:val="1"/>
      <w:numFmt w:val="bullet"/>
      <w:lvlText w:val=""/>
      <w:lvlJc w:val="left"/>
      <w:pPr>
        <w:tabs>
          <w:tab w:val="num" w:pos="5760"/>
        </w:tabs>
        <w:ind w:left="5760" w:hanging="360"/>
      </w:pPr>
      <w:rPr>
        <w:rFonts w:ascii="Wingdings" w:hAnsi="Wingdings" w:hint="default"/>
      </w:rPr>
    </w:lvl>
    <w:lvl w:ilvl="8" w:tplc="34F86EFC" w:tentative="1">
      <w:start w:val="1"/>
      <w:numFmt w:val="bullet"/>
      <w:lvlText w:val=""/>
      <w:lvlJc w:val="left"/>
      <w:pPr>
        <w:tabs>
          <w:tab w:val="num" w:pos="6480"/>
        </w:tabs>
        <w:ind w:left="6480" w:hanging="360"/>
      </w:pPr>
      <w:rPr>
        <w:rFonts w:ascii="Wingdings" w:hAnsi="Wingdings" w:hint="default"/>
      </w:rPr>
    </w:lvl>
  </w:abstractNum>
  <w:abstractNum w:abstractNumId="40">
    <w:nsid w:val="7C0F1FB7"/>
    <w:multiLevelType w:val="hybridMultilevel"/>
    <w:tmpl w:val="AEEE89DE"/>
    <w:lvl w:ilvl="0" w:tplc="9F866396">
      <w:start w:val="1"/>
      <w:numFmt w:val="bullet"/>
      <w:lvlText w:val=""/>
      <w:lvlJc w:val="left"/>
      <w:pPr>
        <w:tabs>
          <w:tab w:val="num" w:pos="720"/>
        </w:tabs>
        <w:ind w:left="720" w:hanging="360"/>
      </w:pPr>
      <w:rPr>
        <w:rFonts w:ascii="Wingdings" w:hAnsi="Wingdings" w:hint="default"/>
      </w:rPr>
    </w:lvl>
    <w:lvl w:ilvl="1" w:tplc="CA92F374" w:tentative="1">
      <w:start w:val="1"/>
      <w:numFmt w:val="bullet"/>
      <w:lvlText w:val=""/>
      <w:lvlJc w:val="left"/>
      <w:pPr>
        <w:tabs>
          <w:tab w:val="num" w:pos="1440"/>
        </w:tabs>
        <w:ind w:left="1440" w:hanging="360"/>
      </w:pPr>
      <w:rPr>
        <w:rFonts w:ascii="Wingdings" w:hAnsi="Wingdings" w:hint="default"/>
      </w:rPr>
    </w:lvl>
    <w:lvl w:ilvl="2" w:tplc="321E1400" w:tentative="1">
      <w:start w:val="1"/>
      <w:numFmt w:val="bullet"/>
      <w:lvlText w:val=""/>
      <w:lvlJc w:val="left"/>
      <w:pPr>
        <w:tabs>
          <w:tab w:val="num" w:pos="2160"/>
        </w:tabs>
        <w:ind w:left="2160" w:hanging="360"/>
      </w:pPr>
      <w:rPr>
        <w:rFonts w:ascii="Wingdings" w:hAnsi="Wingdings" w:hint="default"/>
      </w:rPr>
    </w:lvl>
    <w:lvl w:ilvl="3" w:tplc="921472DC" w:tentative="1">
      <w:start w:val="1"/>
      <w:numFmt w:val="bullet"/>
      <w:lvlText w:val=""/>
      <w:lvlJc w:val="left"/>
      <w:pPr>
        <w:tabs>
          <w:tab w:val="num" w:pos="2880"/>
        </w:tabs>
        <w:ind w:left="2880" w:hanging="360"/>
      </w:pPr>
      <w:rPr>
        <w:rFonts w:ascii="Wingdings" w:hAnsi="Wingdings" w:hint="default"/>
      </w:rPr>
    </w:lvl>
    <w:lvl w:ilvl="4" w:tplc="D18A5A14" w:tentative="1">
      <w:start w:val="1"/>
      <w:numFmt w:val="bullet"/>
      <w:lvlText w:val=""/>
      <w:lvlJc w:val="left"/>
      <w:pPr>
        <w:tabs>
          <w:tab w:val="num" w:pos="3600"/>
        </w:tabs>
        <w:ind w:left="3600" w:hanging="360"/>
      </w:pPr>
      <w:rPr>
        <w:rFonts w:ascii="Wingdings" w:hAnsi="Wingdings" w:hint="default"/>
      </w:rPr>
    </w:lvl>
    <w:lvl w:ilvl="5" w:tplc="2B06F92E" w:tentative="1">
      <w:start w:val="1"/>
      <w:numFmt w:val="bullet"/>
      <w:lvlText w:val=""/>
      <w:lvlJc w:val="left"/>
      <w:pPr>
        <w:tabs>
          <w:tab w:val="num" w:pos="4320"/>
        </w:tabs>
        <w:ind w:left="4320" w:hanging="360"/>
      </w:pPr>
      <w:rPr>
        <w:rFonts w:ascii="Wingdings" w:hAnsi="Wingdings" w:hint="default"/>
      </w:rPr>
    </w:lvl>
    <w:lvl w:ilvl="6" w:tplc="DAAEBDE0" w:tentative="1">
      <w:start w:val="1"/>
      <w:numFmt w:val="bullet"/>
      <w:lvlText w:val=""/>
      <w:lvlJc w:val="left"/>
      <w:pPr>
        <w:tabs>
          <w:tab w:val="num" w:pos="5040"/>
        </w:tabs>
        <w:ind w:left="5040" w:hanging="360"/>
      </w:pPr>
      <w:rPr>
        <w:rFonts w:ascii="Wingdings" w:hAnsi="Wingdings" w:hint="default"/>
      </w:rPr>
    </w:lvl>
    <w:lvl w:ilvl="7" w:tplc="E5B01378" w:tentative="1">
      <w:start w:val="1"/>
      <w:numFmt w:val="bullet"/>
      <w:lvlText w:val=""/>
      <w:lvlJc w:val="left"/>
      <w:pPr>
        <w:tabs>
          <w:tab w:val="num" w:pos="5760"/>
        </w:tabs>
        <w:ind w:left="5760" w:hanging="360"/>
      </w:pPr>
      <w:rPr>
        <w:rFonts w:ascii="Wingdings" w:hAnsi="Wingdings" w:hint="default"/>
      </w:rPr>
    </w:lvl>
    <w:lvl w:ilvl="8" w:tplc="54FA54FE" w:tentative="1">
      <w:start w:val="1"/>
      <w:numFmt w:val="bullet"/>
      <w:lvlText w:val=""/>
      <w:lvlJc w:val="left"/>
      <w:pPr>
        <w:tabs>
          <w:tab w:val="num" w:pos="6480"/>
        </w:tabs>
        <w:ind w:left="6480" w:hanging="360"/>
      </w:pPr>
      <w:rPr>
        <w:rFonts w:ascii="Wingdings" w:hAnsi="Wingdings" w:hint="default"/>
      </w:rPr>
    </w:lvl>
  </w:abstractNum>
  <w:abstractNum w:abstractNumId="41">
    <w:nsid w:val="7EB376E5"/>
    <w:multiLevelType w:val="hybridMultilevel"/>
    <w:tmpl w:val="5EB4B67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FF70D3F"/>
    <w:multiLevelType w:val="hybridMultilevel"/>
    <w:tmpl w:val="586A495E"/>
    <w:lvl w:ilvl="0" w:tplc="2B6E6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0"/>
  </w:num>
  <w:num w:numId="4">
    <w:abstractNumId w:val="3"/>
  </w:num>
  <w:num w:numId="5">
    <w:abstractNumId w:val="28"/>
  </w:num>
  <w:num w:numId="6">
    <w:abstractNumId w:val="29"/>
  </w:num>
  <w:num w:numId="7">
    <w:abstractNumId w:val="35"/>
  </w:num>
  <w:num w:numId="8">
    <w:abstractNumId w:val="26"/>
  </w:num>
  <w:num w:numId="9">
    <w:abstractNumId w:val="22"/>
  </w:num>
  <w:num w:numId="10">
    <w:abstractNumId w:val="21"/>
  </w:num>
  <w:num w:numId="11">
    <w:abstractNumId w:val="1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
  </w:num>
  <w:num w:numId="18">
    <w:abstractNumId w:val="9"/>
  </w:num>
  <w:num w:numId="19">
    <w:abstractNumId w:val="4"/>
  </w:num>
  <w:num w:numId="20">
    <w:abstractNumId w:val="17"/>
  </w:num>
  <w:num w:numId="21">
    <w:abstractNumId w:val="31"/>
  </w:num>
  <w:num w:numId="22">
    <w:abstractNumId w:val="33"/>
  </w:num>
  <w:num w:numId="23">
    <w:abstractNumId w:val="38"/>
  </w:num>
  <w:num w:numId="24">
    <w:abstractNumId w:val="14"/>
  </w:num>
  <w:num w:numId="25">
    <w:abstractNumId w:val="19"/>
  </w:num>
  <w:num w:numId="26">
    <w:abstractNumId w:val="16"/>
  </w:num>
  <w:num w:numId="27">
    <w:abstractNumId w:val="25"/>
  </w:num>
  <w:num w:numId="28">
    <w:abstractNumId w:val="34"/>
  </w:num>
  <w:num w:numId="29">
    <w:abstractNumId w:val="36"/>
  </w:num>
  <w:num w:numId="30">
    <w:abstractNumId w:val="0"/>
  </w:num>
  <w:num w:numId="31">
    <w:abstractNumId w:val="37"/>
  </w:num>
  <w:num w:numId="32">
    <w:abstractNumId w:val="18"/>
  </w:num>
  <w:num w:numId="33">
    <w:abstractNumId w:val="40"/>
  </w:num>
  <w:num w:numId="34">
    <w:abstractNumId w:val="30"/>
  </w:num>
  <w:num w:numId="35">
    <w:abstractNumId w:val="6"/>
  </w:num>
  <w:num w:numId="36">
    <w:abstractNumId w:val="39"/>
  </w:num>
  <w:num w:numId="37">
    <w:abstractNumId w:val="27"/>
  </w:num>
  <w:num w:numId="38">
    <w:abstractNumId w:val="7"/>
  </w:num>
  <w:num w:numId="39">
    <w:abstractNumId w:val="10"/>
  </w:num>
  <w:num w:numId="40">
    <w:abstractNumId w:val="1"/>
  </w:num>
  <w:num w:numId="41">
    <w:abstractNumId w:val="13"/>
  </w:num>
  <w:num w:numId="42">
    <w:abstractNumId w:val="42"/>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43"/>
    <w:rsid w:val="00010157"/>
    <w:rsid w:val="0011459A"/>
    <w:rsid w:val="00180280"/>
    <w:rsid w:val="0019506C"/>
    <w:rsid w:val="001A1B1C"/>
    <w:rsid w:val="001A533C"/>
    <w:rsid w:val="001D7266"/>
    <w:rsid w:val="001E09D1"/>
    <w:rsid w:val="001F4998"/>
    <w:rsid w:val="00317028"/>
    <w:rsid w:val="00322D68"/>
    <w:rsid w:val="003869B4"/>
    <w:rsid w:val="003F28D0"/>
    <w:rsid w:val="0046100E"/>
    <w:rsid w:val="004869C7"/>
    <w:rsid w:val="004A5165"/>
    <w:rsid w:val="004B3D87"/>
    <w:rsid w:val="004B6798"/>
    <w:rsid w:val="00546615"/>
    <w:rsid w:val="00582743"/>
    <w:rsid w:val="00620D16"/>
    <w:rsid w:val="006E5740"/>
    <w:rsid w:val="007520D5"/>
    <w:rsid w:val="008A4475"/>
    <w:rsid w:val="00976CC3"/>
    <w:rsid w:val="00A507A9"/>
    <w:rsid w:val="00AF2C73"/>
    <w:rsid w:val="00B73EFE"/>
    <w:rsid w:val="00B909B5"/>
    <w:rsid w:val="00BB62F1"/>
    <w:rsid w:val="00C830EA"/>
    <w:rsid w:val="00CA4CC8"/>
    <w:rsid w:val="00CC0D66"/>
    <w:rsid w:val="00CD69C9"/>
    <w:rsid w:val="00D450D6"/>
    <w:rsid w:val="00E85A87"/>
    <w:rsid w:val="00EE42DF"/>
    <w:rsid w:val="00F703C9"/>
    <w:rsid w:val="00F965AF"/>
    <w:rsid w:val="00FC7B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DC0F7-AA31-44CD-A690-03536BD2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Ha"/>
    <w:basedOn w:val="Normal"/>
    <w:link w:val="ListParagraphChar"/>
    <w:uiPriority w:val="34"/>
    <w:qFormat/>
    <w:rsid w:val="008A4475"/>
    <w:pPr>
      <w:ind w:left="720"/>
      <w:contextualSpacing/>
    </w:pPr>
  </w:style>
  <w:style w:type="character" w:customStyle="1" w:styleId="ListParagraphChar">
    <w:name w:val="List Paragraph Char"/>
    <w:aliases w:val="List Paragraph (numbered (a)) Char,List Paragraph1 Char,Ha Char"/>
    <w:link w:val="ListParagraph"/>
    <w:uiPriority w:val="34"/>
    <w:locked/>
    <w:rsid w:val="004B6798"/>
  </w:style>
  <w:style w:type="paragraph" w:styleId="FootnoteText">
    <w:name w:val="footnote text"/>
    <w:basedOn w:val="Normal"/>
    <w:link w:val="FootnoteTextChar"/>
    <w:uiPriority w:val="99"/>
    <w:semiHidden/>
    <w:unhideWhenUsed/>
    <w:rsid w:val="00CD69C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D69C9"/>
    <w:rPr>
      <w:rFonts w:ascii="Calibri" w:eastAsia="Calibri" w:hAnsi="Calibri" w:cs="Times New Roman"/>
      <w:sz w:val="20"/>
      <w:szCs w:val="20"/>
    </w:rPr>
  </w:style>
  <w:style w:type="character" w:styleId="FootnoteReference">
    <w:name w:val="footnote reference"/>
    <w:uiPriority w:val="99"/>
    <w:semiHidden/>
    <w:unhideWhenUsed/>
    <w:rsid w:val="00CD69C9"/>
    <w:rPr>
      <w:vertAlign w:val="superscript"/>
    </w:rPr>
  </w:style>
  <w:style w:type="paragraph" w:styleId="Header">
    <w:name w:val="header"/>
    <w:basedOn w:val="Normal"/>
    <w:link w:val="HeaderChar"/>
    <w:uiPriority w:val="99"/>
    <w:unhideWhenUsed/>
    <w:rsid w:val="00BB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F1"/>
  </w:style>
  <w:style w:type="paragraph" w:styleId="Footer">
    <w:name w:val="footer"/>
    <w:basedOn w:val="Normal"/>
    <w:link w:val="FooterChar"/>
    <w:uiPriority w:val="99"/>
    <w:unhideWhenUsed/>
    <w:rsid w:val="00BB6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F1"/>
  </w:style>
  <w:style w:type="paragraph" w:styleId="BodyText">
    <w:name w:val="Body Text"/>
    <w:basedOn w:val="Normal"/>
    <w:link w:val="BodyTextChar"/>
    <w:semiHidden/>
    <w:rsid w:val="00546615"/>
    <w:pPr>
      <w:spacing w:after="0" w:line="240" w:lineRule="auto"/>
      <w:jc w:val="both"/>
    </w:pPr>
    <w:rPr>
      <w:rFonts w:ascii="Tahoma" w:eastAsia="Times New Roman" w:hAnsi="Tahoma" w:cs="Times New Roman"/>
      <w:sz w:val="28"/>
      <w:szCs w:val="28"/>
    </w:rPr>
  </w:style>
  <w:style w:type="character" w:customStyle="1" w:styleId="BodyTextChar">
    <w:name w:val="Body Text Char"/>
    <w:basedOn w:val="DefaultParagraphFont"/>
    <w:link w:val="BodyText"/>
    <w:semiHidden/>
    <w:rsid w:val="00546615"/>
    <w:rPr>
      <w:rFonts w:ascii="Tahoma" w:eastAsia="Times New Roman" w:hAnsi="Tahoma" w:cs="Times New Roman"/>
      <w:sz w:val="28"/>
      <w:szCs w:val="28"/>
    </w:rPr>
  </w:style>
  <w:style w:type="paragraph" w:styleId="BodyText3">
    <w:name w:val="Body Text 3"/>
    <w:basedOn w:val="Normal"/>
    <w:link w:val="BodyText3Char"/>
    <w:semiHidden/>
    <w:rsid w:val="00546615"/>
    <w:pPr>
      <w:spacing w:after="0" w:line="240" w:lineRule="auto"/>
      <w:jc w:val="both"/>
    </w:pPr>
    <w:rPr>
      <w:rFonts w:ascii="Tahoma" w:eastAsia="Times New Roman" w:hAnsi="Tahoma" w:cs="Times New Roman"/>
      <w:b/>
      <w:sz w:val="24"/>
      <w:szCs w:val="24"/>
    </w:rPr>
  </w:style>
  <w:style w:type="character" w:customStyle="1" w:styleId="BodyText3Char">
    <w:name w:val="Body Text 3 Char"/>
    <w:basedOn w:val="DefaultParagraphFont"/>
    <w:link w:val="BodyText3"/>
    <w:semiHidden/>
    <w:rsid w:val="00546615"/>
    <w:rPr>
      <w:rFonts w:ascii="Tahoma" w:eastAsia="Times New Roman" w:hAnsi="Tahom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981">
      <w:bodyDiv w:val="1"/>
      <w:marLeft w:val="0"/>
      <w:marRight w:val="0"/>
      <w:marTop w:val="0"/>
      <w:marBottom w:val="0"/>
      <w:divBdr>
        <w:top w:val="none" w:sz="0" w:space="0" w:color="auto"/>
        <w:left w:val="none" w:sz="0" w:space="0" w:color="auto"/>
        <w:bottom w:val="none" w:sz="0" w:space="0" w:color="auto"/>
        <w:right w:val="none" w:sz="0" w:space="0" w:color="auto"/>
      </w:divBdr>
    </w:div>
    <w:div w:id="341124990">
      <w:bodyDiv w:val="1"/>
      <w:marLeft w:val="0"/>
      <w:marRight w:val="0"/>
      <w:marTop w:val="0"/>
      <w:marBottom w:val="0"/>
      <w:divBdr>
        <w:top w:val="none" w:sz="0" w:space="0" w:color="auto"/>
        <w:left w:val="none" w:sz="0" w:space="0" w:color="auto"/>
        <w:bottom w:val="none" w:sz="0" w:space="0" w:color="auto"/>
        <w:right w:val="none" w:sz="0" w:space="0" w:color="auto"/>
      </w:divBdr>
      <w:divsChild>
        <w:div w:id="2106340114">
          <w:marLeft w:val="432"/>
          <w:marRight w:val="0"/>
          <w:marTop w:val="120"/>
          <w:marBottom w:val="0"/>
          <w:divBdr>
            <w:top w:val="none" w:sz="0" w:space="0" w:color="auto"/>
            <w:left w:val="none" w:sz="0" w:space="0" w:color="auto"/>
            <w:bottom w:val="none" w:sz="0" w:space="0" w:color="auto"/>
            <w:right w:val="none" w:sz="0" w:space="0" w:color="auto"/>
          </w:divBdr>
        </w:div>
        <w:div w:id="1576431982">
          <w:marLeft w:val="432"/>
          <w:marRight w:val="0"/>
          <w:marTop w:val="120"/>
          <w:marBottom w:val="0"/>
          <w:divBdr>
            <w:top w:val="none" w:sz="0" w:space="0" w:color="auto"/>
            <w:left w:val="none" w:sz="0" w:space="0" w:color="auto"/>
            <w:bottom w:val="none" w:sz="0" w:space="0" w:color="auto"/>
            <w:right w:val="none" w:sz="0" w:space="0" w:color="auto"/>
          </w:divBdr>
        </w:div>
        <w:div w:id="1160194351">
          <w:marLeft w:val="432"/>
          <w:marRight w:val="0"/>
          <w:marTop w:val="120"/>
          <w:marBottom w:val="0"/>
          <w:divBdr>
            <w:top w:val="none" w:sz="0" w:space="0" w:color="auto"/>
            <w:left w:val="none" w:sz="0" w:space="0" w:color="auto"/>
            <w:bottom w:val="none" w:sz="0" w:space="0" w:color="auto"/>
            <w:right w:val="none" w:sz="0" w:space="0" w:color="auto"/>
          </w:divBdr>
        </w:div>
        <w:div w:id="1596941472">
          <w:marLeft w:val="432"/>
          <w:marRight w:val="0"/>
          <w:marTop w:val="120"/>
          <w:marBottom w:val="0"/>
          <w:divBdr>
            <w:top w:val="none" w:sz="0" w:space="0" w:color="auto"/>
            <w:left w:val="none" w:sz="0" w:space="0" w:color="auto"/>
            <w:bottom w:val="none" w:sz="0" w:space="0" w:color="auto"/>
            <w:right w:val="none" w:sz="0" w:space="0" w:color="auto"/>
          </w:divBdr>
        </w:div>
        <w:div w:id="1114324963">
          <w:marLeft w:val="432"/>
          <w:marRight w:val="0"/>
          <w:marTop w:val="120"/>
          <w:marBottom w:val="0"/>
          <w:divBdr>
            <w:top w:val="none" w:sz="0" w:space="0" w:color="auto"/>
            <w:left w:val="none" w:sz="0" w:space="0" w:color="auto"/>
            <w:bottom w:val="none" w:sz="0" w:space="0" w:color="auto"/>
            <w:right w:val="none" w:sz="0" w:space="0" w:color="auto"/>
          </w:divBdr>
        </w:div>
        <w:div w:id="438918664">
          <w:marLeft w:val="432"/>
          <w:marRight w:val="0"/>
          <w:marTop w:val="120"/>
          <w:marBottom w:val="0"/>
          <w:divBdr>
            <w:top w:val="none" w:sz="0" w:space="0" w:color="auto"/>
            <w:left w:val="none" w:sz="0" w:space="0" w:color="auto"/>
            <w:bottom w:val="none" w:sz="0" w:space="0" w:color="auto"/>
            <w:right w:val="none" w:sz="0" w:space="0" w:color="auto"/>
          </w:divBdr>
        </w:div>
        <w:div w:id="325980869">
          <w:marLeft w:val="432"/>
          <w:marRight w:val="0"/>
          <w:marTop w:val="120"/>
          <w:marBottom w:val="0"/>
          <w:divBdr>
            <w:top w:val="none" w:sz="0" w:space="0" w:color="auto"/>
            <w:left w:val="none" w:sz="0" w:space="0" w:color="auto"/>
            <w:bottom w:val="none" w:sz="0" w:space="0" w:color="auto"/>
            <w:right w:val="none" w:sz="0" w:space="0" w:color="auto"/>
          </w:divBdr>
        </w:div>
      </w:divsChild>
    </w:div>
    <w:div w:id="559558158">
      <w:bodyDiv w:val="1"/>
      <w:marLeft w:val="0"/>
      <w:marRight w:val="0"/>
      <w:marTop w:val="0"/>
      <w:marBottom w:val="0"/>
      <w:divBdr>
        <w:top w:val="none" w:sz="0" w:space="0" w:color="auto"/>
        <w:left w:val="none" w:sz="0" w:space="0" w:color="auto"/>
        <w:bottom w:val="none" w:sz="0" w:space="0" w:color="auto"/>
        <w:right w:val="none" w:sz="0" w:space="0" w:color="auto"/>
      </w:divBdr>
      <w:divsChild>
        <w:div w:id="2091465915">
          <w:marLeft w:val="432"/>
          <w:marRight w:val="0"/>
          <w:marTop w:val="120"/>
          <w:marBottom w:val="0"/>
          <w:divBdr>
            <w:top w:val="none" w:sz="0" w:space="0" w:color="auto"/>
            <w:left w:val="none" w:sz="0" w:space="0" w:color="auto"/>
            <w:bottom w:val="none" w:sz="0" w:space="0" w:color="auto"/>
            <w:right w:val="none" w:sz="0" w:space="0" w:color="auto"/>
          </w:divBdr>
        </w:div>
        <w:div w:id="1521384934">
          <w:marLeft w:val="432"/>
          <w:marRight w:val="0"/>
          <w:marTop w:val="120"/>
          <w:marBottom w:val="0"/>
          <w:divBdr>
            <w:top w:val="none" w:sz="0" w:space="0" w:color="auto"/>
            <w:left w:val="none" w:sz="0" w:space="0" w:color="auto"/>
            <w:bottom w:val="none" w:sz="0" w:space="0" w:color="auto"/>
            <w:right w:val="none" w:sz="0" w:space="0" w:color="auto"/>
          </w:divBdr>
        </w:div>
        <w:div w:id="590314048">
          <w:marLeft w:val="432"/>
          <w:marRight w:val="0"/>
          <w:marTop w:val="120"/>
          <w:marBottom w:val="0"/>
          <w:divBdr>
            <w:top w:val="none" w:sz="0" w:space="0" w:color="auto"/>
            <w:left w:val="none" w:sz="0" w:space="0" w:color="auto"/>
            <w:bottom w:val="none" w:sz="0" w:space="0" w:color="auto"/>
            <w:right w:val="none" w:sz="0" w:space="0" w:color="auto"/>
          </w:divBdr>
        </w:div>
      </w:divsChild>
    </w:div>
    <w:div w:id="789398970">
      <w:bodyDiv w:val="1"/>
      <w:marLeft w:val="0"/>
      <w:marRight w:val="0"/>
      <w:marTop w:val="0"/>
      <w:marBottom w:val="0"/>
      <w:divBdr>
        <w:top w:val="none" w:sz="0" w:space="0" w:color="auto"/>
        <w:left w:val="none" w:sz="0" w:space="0" w:color="auto"/>
        <w:bottom w:val="none" w:sz="0" w:space="0" w:color="auto"/>
        <w:right w:val="none" w:sz="0" w:space="0" w:color="auto"/>
      </w:divBdr>
      <w:divsChild>
        <w:div w:id="467481109">
          <w:marLeft w:val="432"/>
          <w:marRight w:val="0"/>
          <w:marTop w:val="120"/>
          <w:marBottom w:val="0"/>
          <w:divBdr>
            <w:top w:val="none" w:sz="0" w:space="0" w:color="auto"/>
            <w:left w:val="none" w:sz="0" w:space="0" w:color="auto"/>
            <w:bottom w:val="none" w:sz="0" w:space="0" w:color="auto"/>
            <w:right w:val="none" w:sz="0" w:space="0" w:color="auto"/>
          </w:divBdr>
        </w:div>
        <w:div w:id="443159563">
          <w:marLeft w:val="432"/>
          <w:marRight w:val="0"/>
          <w:marTop w:val="120"/>
          <w:marBottom w:val="0"/>
          <w:divBdr>
            <w:top w:val="none" w:sz="0" w:space="0" w:color="auto"/>
            <w:left w:val="none" w:sz="0" w:space="0" w:color="auto"/>
            <w:bottom w:val="none" w:sz="0" w:space="0" w:color="auto"/>
            <w:right w:val="none" w:sz="0" w:space="0" w:color="auto"/>
          </w:divBdr>
        </w:div>
        <w:div w:id="931427484">
          <w:marLeft w:val="432"/>
          <w:marRight w:val="0"/>
          <w:marTop w:val="120"/>
          <w:marBottom w:val="0"/>
          <w:divBdr>
            <w:top w:val="none" w:sz="0" w:space="0" w:color="auto"/>
            <w:left w:val="none" w:sz="0" w:space="0" w:color="auto"/>
            <w:bottom w:val="none" w:sz="0" w:space="0" w:color="auto"/>
            <w:right w:val="none" w:sz="0" w:space="0" w:color="auto"/>
          </w:divBdr>
        </w:div>
      </w:divsChild>
    </w:div>
    <w:div w:id="957221341">
      <w:bodyDiv w:val="1"/>
      <w:marLeft w:val="0"/>
      <w:marRight w:val="0"/>
      <w:marTop w:val="0"/>
      <w:marBottom w:val="0"/>
      <w:divBdr>
        <w:top w:val="none" w:sz="0" w:space="0" w:color="auto"/>
        <w:left w:val="none" w:sz="0" w:space="0" w:color="auto"/>
        <w:bottom w:val="none" w:sz="0" w:space="0" w:color="auto"/>
        <w:right w:val="none" w:sz="0" w:space="0" w:color="auto"/>
      </w:divBdr>
    </w:div>
    <w:div w:id="1093822431">
      <w:bodyDiv w:val="1"/>
      <w:marLeft w:val="0"/>
      <w:marRight w:val="0"/>
      <w:marTop w:val="0"/>
      <w:marBottom w:val="0"/>
      <w:divBdr>
        <w:top w:val="none" w:sz="0" w:space="0" w:color="auto"/>
        <w:left w:val="none" w:sz="0" w:space="0" w:color="auto"/>
        <w:bottom w:val="none" w:sz="0" w:space="0" w:color="auto"/>
        <w:right w:val="none" w:sz="0" w:space="0" w:color="auto"/>
      </w:divBdr>
    </w:div>
    <w:div w:id="1240794104">
      <w:bodyDiv w:val="1"/>
      <w:marLeft w:val="0"/>
      <w:marRight w:val="0"/>
      <w:marTop w:val="0"/>
      <w:marBottom w:val="0"/>
      <w:divBdr>
        <w:top w:val="none" w:sz="0" w:space="0" w:color="auto"/>
        <w:left w:val="none" w:sz="0" w:space="0" w:color="auto"/>
        <w:bottom w:val="none" w:sz="0" w:space="0" w:color="auto"/>
        <w:right w:val="none" w:sz="0" w:space="0" w:color="auto"/>
      </w:divBdr>
    </w:div>
    <w:div w:id="1514999760">
      <w:bodyDiv w:val="1"/>
      <w:marLeft w:val="0"/>
      <w:marRight w:val="0"/>
      <w:marTop w:val="0"/>
      <w:marBottom w:val="0"/>
      <w:divBdr>
        <w:top w:val="none" w:sz="0" w:space="0" w:color="auto"/>
        <w:left w:val="none" w:sz="0" w:space="0" w:color="auto"/>
        <w:bottom w:val="none" w:sz="0" w:space="0" w:color="auto"/>
        <w:right w:val="none" w:sz="0" w:space="0" w:color="auto"/>
      </w:divBdr>
    </w:div>
    <w:div w:id="1830246628">
      <w:bodyDiv w:val="1"/>
      <w:marLeft w:val="0"/>
      <w:marRight w:val="0"/>
      <w:marTop w:val="0"/>
      <w:marBottom w:val="0"/>
      <w:divBdr>
        <w:top w:val="none" w:sz="0" w:space="0" w:color="auto"/>
        <w:left w:val="none" w:sz="0" w:space="0" w:color="auto"/>
        <w:bottom w:val="none" w:sz="0" w:space="0" w:color="auto"/>
        <w:right w:val="none" w:sz="0" w:space="0" w:color="auto"/>
      </w:divBdr>
      <w:divsChild>
        <w:div w:id="455635401">
          <w:marLeft w:val="806"/>
          <w:marRight w:val="0"/>
          <w:marTop w:val="120"/>
          <w:marBottom w:val="0"/>
          <w:divBdr>
            <w:top w:val="none" w:sz="0" w:space="0" w:color="auto"/>
            <w:left w:val="none" w:sz="0" w:space="0" w:color="auto"/>
            <w:bottom w:val="none" w:sz="0" w:space="0" w:color="auto"/>
            <w:right w:val="none" w:sz="0" w:space="0" w:color="auto"/>
          </w:divBdr>
        </w:div>
        <w:div w:id="1187717656">
          <w:marLeft w:val="806"/>
          <w:marRight w:val="0"/>
          <w:marTop w:val="120"/>
          <w:marBottom w:val="0"/>
          <w:divBdr>
            <w:top w:val="none" w:sz="0" w:space="0" w:color="auto"/>
            <w:left w:val="none" w:sz="0" w:space="0" w:color="auto"/>
            <w:bottom w:val="none" w:sz="0" w:space="0" w:color="auto"/>
            <w:right w:val="none" w:sz="0" w:space="0" w:color="auto"/>
          </w:divBdr>
        </w:div>
        <w:div w:id="1740592838">
          <w:marLeft w:val="1008"/>
          <w:marRight w:val="0"/>
          <w:marTop w:val="134"/>
          <w:marBottom w:val="0"/>
          <w:divBdr>
            <w:top w:val="none" w:sz="0" w:space="0" w:color="auto"/>
            <w:left w:val="none" w:sz="0" w:space="0" w:color="auto"/>
            <w:bottom w:val="none" w:sz="0" w:space="0" w:color="auto"/>
            <w:right w:val="none" w:sz="0" w:space="0" w:color="auto"/>
          </w:divBdr>
        </w:div>
        <w:div w:id="1574503928">
          <w:marLeft w:val="1008"/>
          <w:marRight w:val="0"/>
          <w:marTop w:val="134"/>
          <w:marBottom w:val="0"/>
          <w:divBdr>
            <w:top w:val="none" w:sz="0" w:space="0" w:color="auto"/>
            <w:left w:val="none" w:sz="0" w:space="0" w:color="auto"/>
            <w:bottom w:val="none" w:sz="0" w:space="0" w:color="auto"/>
            <w:right w:val="none" w:sz="0" w:space="0" w:color="auto"/>
          </w:divBdr>
        </w:div>
        <w:div w:id="454295902">
          <w:marLeft w:val="1008"/>
          <w:marRight w:val="0"/>
          <w:marTop w:val="134"/>
          <w:marBottom w:val="0"/>
          <w:divBdr>
            <w:top w:val="none" w:sz="0" w:space="0" w:color="auto"/>
            <w:left w:val="none" w:sz="0" w:space="0" w:color="auto"/>
            <w:bottom w:val="none" w:sz="0" w:space="0" w:color="auto"/>
            <w:right w:val="none" w:sz="0" w:space="0" w:color="auto"/>
          </w:divBdr>
        </w:div>
        <w:div w:id="432554588">
          <w:marLeft w:val="1008"/>
          <w:marRight w:val="0"/>
          <w:marTop w:val="134"/>
          <w:marBottom w:val="0"/>
          <w:divBdr>
            <w:top w:val="none" w:sz="0" w:space="0" w:color="auto"/>
            <w:left w:val="none" w:sz="0" w:space="0" w:color="auto"/>
            <w:bottom w:val="none" w:sz="0" w:space="0" w:color="auto"/>
            <w:right w:val="none" w:sz="0" w:space="0" w:color="auto"/>
          </w:divBdr>
        </w:div>
        <w:div w:id="2067603485">
          <w:marLeft w:val="1008"/>
          <w:marRight w:val="0"/>
          <w:marTop w:val="134"/>
          <w:marBottom w:val="0"/>
          <w:divBdr>
            <w:top w:val="none" w:sz="0" w:space="0" w:color="auto"/>
            <w:left w:val="none" w:sz="0" w:space="0" w:color="auto"/>
            <w:bottom w:val="none" w:sz="0" w:space="0" w:color="auto"/>
            <w:right w:val="none" w:sz="0" w:space="0" w:color="auto"/>
          </w:divBdr>
        </w:div>
        <w:div w:id="1612011976">
          <w:marLeft w:val="1008"/>
          <w:marRight w:val="0"/>
          <w:marTop w:val="134"/>
          <w:marBottom w:val="0"/>
          <w:divBdr>
            <w:top w:val="none" w:sz="0" w:space="0" w:color="auto"/>
            <w:left w:val="none" w:sz="0" w:space="0" w:color="auto"/>
            <w:bottom w:val="none" w:sz="0" w:space="0" w:color="auto"/>
            <w:right w:val="none" w:sz="0" w:space="0" w:color="auto"/>
          </w:divBdr>
        </w:div>
      </w:divsChild>
    </w:div>
    <w:div w:id="1969702347">
      <w:bodyDiv w:val="1"/>
      <w:marLeft w:val="0"/>
      <w:marRight w:val="0"/>
      <w:marTop w:val="0"/>
      <w:marBottom w:val="0"/>
      <w:divBdr>
        <w:top w:val="none" w:sz="0" w:space="0" w:color="auto"/>
        <w:left w:val="none" w:sz="0" w:space="0" w:color="auto"/>
        <w:bottom w:val="none" w:sz="0" w:space="0" w:color="auto"/>
        <w:right w:val="none" w:sz="0" w:space="0" w:color="auto"/>
      </w:divBdr>
      <w:divsChild>
        <w:div w:id="1141195157">
          <w:marLeft w:val="432"/>
          <w:marRight w:val="0"/>
          <w:marTop w:val="120"/>
          <w:marBottom w:val="0"/>
          <w:divBdr>
            <w:top w:val="none" w:sz="0" w:space="0" w:color="auto"/>
            <w:left w:val="none" w:sz="0" w:space="0" w:color="auto"/>
            <w:bottom w:val="none" w:sz="0" w:space="0" w:color="auto"/>
            <w:right w:val="none" w:sz="0" w:space="0" w:color="auto"/>
          </w:divBdr>
        </w:div>
        <w:div w:id="6563440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3938-F086-4B99-9730-ED4A58A5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Esther Ayebare</cp:lastModifiedBy>
  <cp:revision>2</cp:revision>
  <cp:lastPrinted>2016-09-07T06:43:00Z</cp:lastPrinted>
  <dcterms:created xsi:type="dcterms:W3CDTF">2016-09-10T14:49:00Z</dcterms:created>
  <dcterms:modified xsi:type="dcterms:W3CDTF">2016-09-10T14:49:00Z</dcterms:modified>
</cp:coreProperties>
</file>