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3F" w:rsidRDefault="0011733F" w:rsidP="0011733F">
      <w:pPr>
        <w:pStyle w:val="Heading1"/>
        <w:rPr>
          <w:b/>
        </w:rPr>
      </w:pPr>
      <w:r w:rsidRPr="00D73F77">
        <w:rPr>
          <w:b/>
        </w:rPr>
        <w:t>0</w:t>
      </w:r>
      <w:r>
        <w:rPr>
          <w:b/>
        </w:rPr>
        <w:t>0</w:t>
      </w:r>
      <w:r w:rsidRPr="00D73F77">
        <w:rPr>
          <w:b/>
        </w:rPr>
        <w:t xml:space="preserve"> </w:t>
      </w:r>
      <w:r>
        <w:rPr>
          <w:b/>
        </w:rPr>
        <w:t xml:space="preserve">Discretionary Development Equalisation Grant </w:t>
      </w:r>
    </w:p>
    <w:p w:rsidR="00D73F77" w:rsidRDefault="00D73F77" w:rsidP="000311A1">
      <w:pPr>
        <w:pStyle w:val="Heading1"/>
        <w:pBdr>
          <w:bottom w:val="single" w:sz="4" w:space="1" w:color="auto"/>
        </w:pBdr>
      </w:pPr>
      <w:r>
        <w:t>201</w:t>
      </w:r>
      <w:r w:rsidR="000647EB">
        <w:t>6/17</w:t>
      </w:r>
      <w:r>
        <w:t xml:space="preserve"> </w:t>
      </w:r>
      <w:r w:rsidR="007901F4">
        <w:t xml:space="preserve">Sector </w:t>
      </w:r>
      <w:r>
        <w:t>Grant</w:t>
      </w:r>
      <w:r w:rsidR="007901F4">
        <w:t xml:space="preserve"> and Budget </w:t>
      </w:r>
      <w:r w:rsidR="00B46C2E">
        <w:t>Information –</w:t>
      </w:r>
      <w:r w:rsidR="0011733F">
        <w:t xml:space="preserve"> BFP Draft </w:t>
      </w:r>
      <w:r w:rsidR="00DA1B5C">
        <w:t>1</w:t>
      </w:r>
    </w:p>
    <w:p w:rsidR="00E54B94" w:rsidRPr="00513598" w:rsidRDefault="00E54B94" w:rsidP="00E54B94">
      <w:pPr>
        <w:pStyle w:val="Heading3"/>
        <w:rPr>
          <w:b/>
          <w:i/>
          <w:color w:val="FF0000"/>
        </w:rPr>
      </w:pPr>
      <w:r w:rsidRPr="00513598">
        <w:rPr>
          <w:b/>
          <w:i/>
          <w:color w:val="FF0000"/>
        </w:rPr>
        <w:t xml:space="preserve">IMPORTANT: This is a draft </w:t>
      </w:r>
      <w:r>
        <w:rPr>
          <w:b/>
          <w:i/>
          <w:color w:val="FF0000"/>
        </w:rPr>
        <w:t xml:space="preserve">paper </w:t>
      </w:r>
      <w:r w:rsidRPr="00513598">
        <w:rPr>
          <w:b/>
          <w:i/>
          <w:color w:val="FF0000"/>
        </w:rPr>
        <w:t xml:space="preserve">for </w:t>
      </w:r>
      <w:r>
        <w:rPr>
          <w:b/>
          <w:i/>
          <w:color w:val="FF0000"/>
        </w:rPr>
        <w:t>use by local governments in their preparation of Budget Framework Papers</w:t>
      </w:r>
      <w:r w:rsidRPr="00513598">
        <w:rPr>
          <w:b/>
          <w:i/>
          <w:color w:val="FF0000"/>
        </w:rPr>
        <w:t xml:space="preserve">.  It </w:t>
      </w:r>
      <w:r>
        <w:rPr>
          <w:b/>
          <w:i/>
          <w:color w:val="FF0000"/>
        </w:rPr>
        <w:t xml:space="preserve">therefore may to be subject to change.  A final paper will be issued alongside the second budget call circular in February.  As a draft it should not be </w:t>
      </w:r>
      <w:r w:rsidRPr="00513598">
        <w:rPr>
          <w:b/>
          <w:i/>
          <w:color w:val="FF0000"/>
        </w:rPr>
        <w:t xml:space="preserve">regarded </w:t>
      </w:r>
      <w:r>
        <w:rPr>
          <w:b/>
          <w:i/>
          <w:color w:val="FF0000"/>
        </w:rPr>
        <w:t xml:space="preserve">as the final </w:t>
      </w:r>
      <w:r w:rsidRPr="00513598">
        <w:rPr>
          <w:b/>
          <w:i/>
          <w:color w:val="FF0000"/>
        </w:rPr>
        <w:t>the policy position of any Government of Uganda</w:t>
      </w:r>
      <w:r>
        <w:rPr>
          <w:b/>
          <w:i/>
          <w:color w:val="FF0000"/>
        </w:rPr>
        <w:t xml:space="preserve"> institution</w:t>
      </w:r>
      <w:r w:rsidRPr="00513598">
        <w:rPr>
          <w:b/>
          <w:i/>
          <w:color w:val="FF0000"/>
        </w:rPr>
        <w:t>.</w:t>
      </w:r>
      <w:r>
        <w:rPr>
          <w:b/>
          <w:i/>
          <w:color w:val="FF0000"/>
        </w:rPr>
        <w:t xml:space="preserve"> </w:t>
      </w:r>
    </w:p>
    <w:p w:rsidR="00D73F77" w:rsidRPr="00D73F77" w:rsidRDefault="00D73F77" w:rsidP="00D73F77"/>
    <w:p w:rsidR="004A4389" w:rsidRDefault="004A4389" w:rsidP="004A4389">
      <w:pPr>
        <w:pStyle w:val="Heading2"/>
      </w:pPr>
      <w:r>
        <w:t>National Policy Priorities</w:t>
      </w:r>
    </w:p>
    <w:p w:rsidR="004A4389" w:rsidRDefault="00F256B0" w:rsidP="00B20A19">
      <w:pPr>
        <w:jc w:val="both"/>
      </w:pPr>
      <w:r>
        <w:t xml:space="preserve">In order to ensure </w:t>
      </w:r>
      <w:r w:rsidR="007F0EEE">
        <w:t>equitable subnational development across the country</w:t>
      </w:r>
      <w:r>
        <w:t>,</w:t>
      </w:r>
      <w:r w:rsidR="0073728F">
        <w:t xml:space="preserve"> </w:t>
      </w:r>
      <w:r w:rsidR="00C25318">
        <w:t>A</w:t>
      </w:r>
      <w:r w:rsidR="00C7337F">
        <w:t>rticle 193</w:t>
      </w:r>
      <w:r w:rsidR="00C25318">
        <w:t xml:space="preserve"> (4)</w:t>
      </w:r>
      <w:r>
        <w:t xml:space="preserve"> of the Constitution</w:t>
      </w:r>
      <w:r w:rsidR="00C25318">
        <w:t xml:space="preserve"> provides for subsidies or special provisions for the least developed districts based on the degree to which a </w:t>
      </w:r>
      <w:r w:rsidR="00B710F4">
        <w:t>Local Government</w:t>
      </w:r>
      <w:r w:rsidR="0031127D">
        <w:t xml:space="preserve"> unit is lagging behind</w:t>
      </w:r>
      <w:r w:rsidR="00C25318">
        <w:t xml:space="preserve"> the national average standard for a particular service.</w:t>
      </w:r>
      <w:r w:rsidR="0073728F">
        <w:t xml:space="preserve"> One of the </w:t>
      </w:r>
      <w:r w:rsidR="00D512A8">
        <w:t>objective</w:t>
      </w:r>
      <w:r w:rsidR="0073728F">
        <w:t>s</w:t>
      </w:r>
      <w:r w:rsidR="00D512A8">
        <w:t xml:space="preserve"> of the reform to fiscal transfers </w:t>
      </w:r>
      <w:r w:rsidR="004A4389">
        <w:t>is</w:t>
      </w:r>
      <w:r>
        <w:t xml:space="preserve"> therefore</w:t>
      </w:r>
      <w:r w:rsidR="004A4389">
        <w:t xml:space="preserve"> </w:t>
      </w:r>
      <w:r>
        <w:t xml:space="preserve">to distribute </w:t>
      </w:r>
      <w:r w:rsidR="004A4389">
        <w:t>resources</w:t>
      </w:r>
      <w:r>
        <w:t xml:space="preserve"> more equitably</w:t>
      </w:r>
      <w:r w:rsidR="004A4389">
        <w:t xml:space="preserve"> to </w:t>
      </w:r>
      <w:r w:rsidR="00B710F4">
        <w:t>Local Governments</w:t>
      </w:r>
      <w:r w:rsidR="004A4389">
        <w:t xml:space="preserve">, so that those </w:t>
      </w:r>
      <w:r w:rsidR="00B710F4">
        <w:t>Local Governments</w:t>
      </w:r>
      <w:r w:rsidR="004A4389">
        <w:t xml:space="preserve"> which are less well-off are able to catch up with other areas.</w:t>
      </w:r>
      <w:r w:rsidR="00B20A19">
        <w:t xml:space="preserve"> </w:t>
      </w:r>
      <w:r w:rsidR="007F0EEE">
        <w:t>T</w:t>
      </w:r>
      <w:r>
        <w:t>o this effect</w:t>
      </w:r>
      <w:r w:rsidR="007F0EEE">
        <w:t>, s</w:t>
      </w:r>
      <w:r w:rsidR="004A4389">
        <w:t xml:space="preserve">pecial regional programmes such as the PRDP and the LRDP </w:t>
      </w:r>
      <w:r w:rsidR="007F0EEE">
        <w:t xml:space="preserve">which </w:t>
      </w:r>
      <w:r w:rsidR="004A4389">
        <w:t>are intended to support areas of the country with specific development needs</w:t>
      </w:r>
      <w:r w:rsidR="007F0EEE">
        <w:t xml:space="preserve"> </w:t>
      </w:r>
      <w:r w:rsidR="00C45B4F">
        <w:t>w</w:t>
      </w:r>
      <w:r w:rsidR="007F0EEE">
        <w:t xml:space="preserve">ill </w:t>
      </w:r>
      <w:r w:rsidR="005E3451">
        <w:t>use</w:t>
      </w:r>
      <w:r w:rsidR="00C45B4F">
        <w:t xml:space="preserve"> harmonised</w:t>
      </w:r>
      <w:r w:rsidR="005E3451">
        <w:t xml:space="preserve"> country systems</w:t>
      </w:r>
      <w:r w:rsidR="004A4389">
        <w:t>.</w:t>
      </w:r>
      <w:r>
        <w:t xml:space="preserve">  In addition, the National Development Plan </w:t>
      </w:r>
      <w:r w:rsidR="00B710F4">
        <w:t>(NDP)</w:t>
      </w:r>
      <w:r>
        <w:t xml:space="preserve"> </w:t>
      </w:r>
      <w:r>
        <w:t xml:space="preserve">underscores the need to review modalities for </w:t>
      </w:r>
      <w:r w:rsidR="0048448E">
        <w:t>c</w:t>
      </w:r>
      <w:r>
        <w:t xml:space="preserve">entral </w:t>
      </w:r>
      <w:r w:rsidR="0048448E">
        <w:t>g</w:t>
      </w:r>
      <w:r>
        <w:t xml:space="preserve">overnment transfers to </w:t>
      </w:r>
      <w:r w:rsidR="00B710F4">
        <w:t>Local Governments</w:t>
      </w:r>
      <w:r>
        <w:t xml:space="preserve"> to ensure greater equity and flexibility/more discretion.  The reform to fiscal transfers therefore also builds in greater flexibility and discretion for </w:t>
      </w:r>
      <w:r w:rsidR="0048448E">
        <w:t>l</w:t>
      </w:r>
      <w:r>
        <w:t xml:space="preserve">ocal </w:t>
      </w:r>
      <w:r w:rsidR="0048448E">
        <w:t>g</w:t>
      </w:r>
      <w:r>
        <w:t>overnments to allocate resources to local priorities, in line with their District Development Plans.</w:t>
      </w:r>
    </w:p>
    <w:p w:rsidR="0021336A" w:rsidRPr="006E2499" w:rsidRDefault="00611297" w:rsidP="006E2499">
      <w:pPr>
        <w:pStyle w:val="Heading2"/>
      </w:pPr>
      <w:r w:rsidRPr="006E2499">
        <w:t>Roles, responsibilities and mandate of Local Government</w:t>
      </w:r>
    </w:p>
    <w:p w:rsidR="0091047B" w:rsidRDefault="000D5A71" w:rsidP="00B20A19">
      <w:pPr>
        <w:jc w:val="both"/>
      </w:pPr>
      <w:r>
        <w:t>Schedule 2 of the LG Act C</w:t>
      </w:r>
      <w:r w:rsidR="0048448E">
        <w:t>h</w:t>
      </w:r>
      <w:r>
        <w:t>ap</w:t>
      </w:r>
      <w:r w:rsidR="0048448E">
        <w:t>ter</w:t>
      </w:r>
      <w:r>
        <w:t xml:space="preserve"> 243 stipulates the functions and services for which the LGs are responsible for (mandated) including: </w:t>
      </w:r>
      <w:r w:rsidR="00B710F4">
        <w:t>Primary Education</w:t>
      </w:r>
      <w:r>
        <w:t xml:space="preserve">; </w:t>
      </w:r>
      <w:r w:rsidR="00B710F4">
        <w:t>Primary Health Care</w:t>
      </w:r>
      <w:r>
        <w:t xml:space="preserve">; </w:t>
      </w:r>
      <w:r w:rsidR="00B710F4">
        <w:t xml:space="preserve">Water </w:t>
      </w:r>
      <w:r>
        <w:t xml:space="preserve">and </w:t>
      </w:r>
      <w:r w:rsidR="00B710F4">
        <w:t>Sanitation</w:t>
      </w:r>
      <w:r>
        <w:t xml:space="preserve">; </w:t>
      </w:r>
      <w:r w:rsidR="00B710F4">
        <w:t xml:space="preserve">Feeder Roads </w:t>
      </w:r>
      <w:r>
        <w:t xml:space="preserve">and </w:t>
      </w:r>
      <w:r w:rsidR="00B710F4">
        <w:t>Production</w:t>
      </w:r>
      <w:r w:rsidR="00B20A19">
        <w:t>.</w:t>
      </w:r>
      <w:r w:rsidR="00B20A19">
        <w:t xml:space="preserve"> </w:t>
      </w:r>
      <w:r w:rsidR="0091047B">
        <w:t>The implementation of these mandates require</w:t>
      </w:r>
      <w:r w:rsidR="00B20A19">
        <w:t>s</w:t>
      </w:r>
      <w:r w:rsidR="00F256B0">
        <w:t xml:space="preserve"> spending on operation costs</w:t>
      </w:r>
      <w:r w:rsidR="00F94068">
        <w:t>, capacity development and</w:t>
      </w:r>
      <w:r w:rsidR="0091047B">
        <w:t xml:space="preserve"> investments</w:t>
      </w:r>
      <w:r w:rsidR="00B20A19">
        <w:t xml:space="preserve"> in services and facilities</w:t>
      </w:r>
      <w:r w:rsidR="0091047B">
        <w:t>.</w:t>
      </w:r>
      <w:r w:rsidR="00B20A19">
        <w:t xml:space="preserve"> </w:t>
      </w:r>
      <w:r w:rsidR="00F94068">
        <w:t>O</w:t>
      </w:r>
      <w:r w:rsidR="0091047B">
        <w:t xml:space="preserve">peration costs </w:t>
      </w:r>
      <w:r w:rsidR="00F94068">
        <w:t xml:space="preserve">are </w:t>
      </w:r>
      <w:r w:rsidR="0068423E">
        <w:t xml:space="preserve">catered for in the </w:t>
      </w:r>
      <w:r w:rsidR="00B710F4">
        <w:t>Recurrent Budget</w:t>
      </w:r>
      <w:r w:rsidR="0068423E">
        <w:t>, which will be</w:t>
      </w:r>
      <w:r w:rsidR="0091047B">
        <w:t xml:space="preserve"> funded by </w:t>
      </w:r>
      <w:r w:rsidR="00B710F4">
        <w:t>Conditional</w:t>
      </w:r>
      <w:r w:rsidR="00230A85">
        <w:t xml:space="preserve"> and </w:t>
      </w:r>
      <w:r w:rsidR="00B710F4">
        <w:t>Unconditional Grants</w:t>
      </w:r>
      <w:r w:rsidR="00230A85">
        <w:t xml:space="preserve"> and </w:t>
      </w:r>
      <w:r w:rsidR="00B710F4">
        <w:t>Locally Raised Revenues</w:t>
      </w:r>
      <w:r w:rsidR="0091047B">
        <w:t>.</w:t>
      </w:r>
      <w:r w:rsidR="00B20A19">
        <w:t xml:space="preserve"> </w:t>
      </w:r>
      <w:r w:rsidR="00F94068">
        <w:t xml:space="preserve">Investment in services and facilities </w:t>
      </w:r>
      <w:r w:rsidR="00230A85">
        <w:t xml:space="preserve">and capacity development </w:t>
      </w:r>
      <w:r w:rsidR="0047241D">
        <w:t xml:space="preserve">are </w:t>
      </w:r>
      <w:r w:rsidR="00230A85">
        <w:t xml:space="preserve">catered for in the development budget.  The development budget </w:t>
      </w:r>
      <w:r w:rsidR="0091047B">
        <w:t>shall be funded by: (</w:t>
      </w:r>
      <w:proofErr w:type="spellStart"/>
      <w:r w:rsidR="0091047B">
        <w:t>i</w:t>
      </w:r>
      <w:proofErr w:type="spellEnd"/>
      <w:r w:rsidR="0091047B">
        <w:t>) sector development conditional grants (ii) d</w:t>
      </w:r>
      <w:r w:rsidR="00AD22DC">
        <w:t>iscretionary development equalisation grants</w:t>
      </w:r>
      <w:r w:rsidR="007E6485">
        <w:t xml:space="preserve">; (iii) </w:t>
      </w:r>
      <w:r w:rsidR="00230A85">
        <w:t>contributions from unconditional transfers and locally raised revenues</w:t>
      </w:r>
      <w:r w:rsidR="007E6485">
        <w:t xml:space="preserve">; and </w:t>
      </w:r>
      <w:proofErr w:type="gramStart"/>
      <w:r w:rsidR="007E6485">
        <w:t xml:space="preserve">(iv) </w:t>
      </w:r>
      <w:r w:rsidR="00B710F4">
        <w:t>Off</w:t>
      </w:r>
      <w:r w:rsidR="007E6485">
        <w:t>-</w:t>
      </w:r>
      <w:r w:rsidR="00B710F4">
        <w:t>Budget</w:t>
      </w:r>
      <w:proofErr w:type="gramEnd"/>
      <w:r w:rsidR="007E6485">
        <w:t xml:space="preserve"> donor</w:t>
      </w:r>
      <w:r w:rsidR="00B710F4">
        <w:t>, Development Partners</w:t>
      </w:r>
      <w:r w:rsidR="007E6485">
        <w:t xml:space="preserve"> and NGO programmes.</w:t>
      </w:r>
    </w:p>
    <w:p w:rsidR="0068423E" w:rsidRDefault="0068423E" w:rsidP="0068423E">
      <w:pPr>
        <w:pStyle w:val="Heading2"/>
      </w:pPr>
      <w:r>
        <w:t xml:space="preserve">The Discretionary Development Equalisation Grant </w:t>
      </w:r>
      <w:r w:rsidR="00F94068">
        <w:t>(DDEG)</w:t>
      </w:r>
    </w:p>
    <w:p w:rsidR="0068423E" w:rsidRDefault="0068423E" w:rsidP="0068423E">
      <w:pPr>
        <w:pStyle w:val="Heading3"/>
      </w:pPr>
      <w:r>
        <w:t>Overall objectives, structure and allocations</w:t>
      </w:r>
    </w:p>
    <w:p w:rsidR="0068423E" w:rsidRDefault="0068423E" w:rsidP="00B20A19">
      <w:pPr>
        <w:jc w:val="both"/>
      </w:pPr>
      <w:r w:rsidRPr="00B20A19">
        <w:rPr>
          <w:rFonts w:eastAsia="Calibri" w:cs="Calibri"/>
          <w:color w:val="000000"/>
          <w:kern w:val="24"/>
        </w:rPr>
        <w:t>The overall objectives</w:t>
      </w:r>
      <w:r w:rsidR="00B710F4">
        <w:rPr>
          <w:rFonts w:eastAsia="Calibri" w:cs="Calibri"/>
          <w:color w:val="000000"/>
          <w:kern w:val="24"/>
        </w:rPr>
        <w:t xml:space="preserve"> and</w:t>
      </w:r>
      <w:r w:rsidRPr="00B20A19">
        <w:rPr>
          <w:rFonts w:eastAsia="Calibri" w:cs="Calibri"/>
          <w:color w:val="000000"/>
          <w:kern w:val="24"/>
        </w:rPr>
        <w:t>/</w:t>
      </w:r>
      <w:r w:rsidR="00B710F4">
        <w:rPr>
          <w:rFonts w:eastAsia="Calibri" w:cs="Calibri"/>
          <w:color w:val="000000"/>
          <w:kern w:val="24"/>
        </w:rPr>
        <w:t xml:space="preserve">or </w:t>
      </w:r>
      <w:r w:rsidRPr="00B20A19">
        <w:rPr>
          <w:rFonts w:eastAsia="Calibri" w:cs="Calibri"/>
          <w:color w:val="000000"/>
          <w:kern w:val="24"/>
        </w:rPr>
        <w:t xml:space="preserve">purpose of the discretionary development equalisation grant </w:t>
      </w:r>
      <w:r w:rsidR="0047241D" w:rsidRPr="00B20A19">
        <w:rPr>
          <w:rFonts w:eastAsia="Calibri" w:cs="Calibri"/>
          <w:color w:val="000000"/>
          <w:kern w:val="24"/>
        </w:rPr>
        <w:t>are</w:t>
      </w:r>
      <w:r w:rsidRPr="00B20A19">
        <w:rPr>
          <w:rFonts w:eastAsia="Calibri" w:cs="Calibri"/>
          <w:color w:val="000000"/>
          <w:kern w:val="24"/>
        </w:rPr>
        <w:t xml:space="preserve"> to:</w:t>
      </w:r>
    </w:p>
    <w:p w:rsidR="0068423E" w:rsidRDefault="007F0D4D" w:rsidP="005F7A6D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 xml:space="preserve">Enable </w:t>
      </w:r>
      <w:r w:rsidR="0068423E">
        <w:t>LGs</w:t>
      </w:r>
      <w:r>
        <w:t xml:space="preserve"> to allocate funds to </w:t>
      </w:r>
      <w:r w:rsidR="007E6485">
        <w:t xml:space="preserve">priority </w:t>
      </w:r>
      <w:r w:rsidR="00B710F4">
        <w:t>Local Development</w:t>
      </w:r>
      <w:r w:rsidR="007E6485">
        <w:t xml:space="preserve"> needs that are within their mandate and that are consistent with the </w:t>
      </w:r>
      <w:r w:rsidR="00B710F4">
        <w:t>National Priorities</w:t>
      </w:r>
      <w:r w:rsidR="007E6485">
        <w:t xml:space="preserve">. </w:t>
      </w:r>
    </w:p>
    <w:p w:rsidR="0068423E" w:rsidRDefault="007F0D4D" w:rsidP="005F7A6D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 xml:space="preserve">Provide </w:t>
      </w:r>
      <w:r w:rsidR="00B710F4">
        <w:t>Local Governments</w:t>
      </w:r>
      <w:r>
        <w:t xml:space="preserve"> with equitable access to development financing, ensuring </w:t>
      </w:r>
      <w:r w:rsidR="0047241D">
        <w:t>that more disadvantaged LGs receive</w:t>
      </w:r>
      <w:r>
        <w:t xml:space="preserve"> additional funding to enable them to catch up</w:t>
      </w:r>
      <w:r w:rsidR="0068423E">
        <w:t>.</w:t>
      </w:r>
      <w:r>
        <w:t xml:space="preserve">  In doing so, the grant acts as the</w:t>
      </w:r>
      <w:r w:rsidR="005A7EC6">
        <w:t>: (</w:t>
      </w:r>
      <w:proofErr w:type="spellStart"/>
      <w:r w:rsidR="005A7EC6">
        <w:t>i</w:t>
      </w:r>
      <w:proofErr w:type="spellEnd"/>
      <w:r w:rsidR="005A7EC6">
        <w:t xml:space="preserve">) the </w:t>
      </w:r>
      <w:r w:rsidR="005C60B3">
        <w:t>e</w:t>
      </w:r>
      <w:r w:rsidR="005A7EC6">
        <w:t>quali</w:t>
      </w:r>
      <w:r w:rsidR="005C60B3">
        <w:t>z</w:t>
      </w:r>
      <w:r w:rsidR="005A7EC6">
        <w:t xml:space="preserve">ation grant provided for in the Constitution Article 193 (4); and (ii) </w:t>
      </w:r>
      <w:r>
        <w:t xml:space="preserve"> primary financing for regional development programmes including PRDP and LRDP.  </w:t>
      </w:r>
    </w:p>
    <w:p w:rsidR="007F0D4D" w:rsidRDefault="007F0D4D" w:rsidP="005F7A6D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lastRenderedPageBreak/>
        <w:t>Provide development financing which caters for the differing development needs of rural and urban areas.</w:t>
      </w:r>
    </w:p>
    <w:p w:rsidR="0068423E" w:rsidRDefault="0068423E" w:rsidP="005F7A6D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 xml:space="preserve">Improve </w:t>
      </w:r>
      <w:r>
        <w:t>L</w:t>
      </w:r>
      <w:r w:rsidR="00B710F4">
        <w:t xml:space="preserve">ocal </w:t>
      </w:r>
      <w:r>
        <w:t>G</w:t>
      </w:r>
      <w:r w:rsidR="00B710F4">
        <w:t>overnment</w:t>
      </w:r>
      <w:r>
        <w:t xml:space="preserve"> capacities and systems for provision of services</w:t>
      </w:r>
    </w:p>
    <w:p w:rsidR="007F0D4D" w:rsidRDefault="007F0D4D" w:rsidP="00BB5E2F">
      <w:pPr>
        <w:spacing w:after="0" w:line="288" w:lineRule="auto"/>
        <w:ind w:left="720"/>
        <w:jc w:val="both"/>
      </w:pPr>
    </w:p>
    <w:p w:rsidR="00F94068" w:rsidRDefault="00F94068" w:rsidP="00B20A19">
      <w:pPr>
        <w:spacing w:after="0" w:line="288" w:lineRule="auto"/>
        <w:jc w:val="both"/>
      </w:pPr>
      <w:r>
        <w:t xml:space="preserve">All development allocations under the DDEGs must adhere to sectoral budget requirements set out in the respective </w:t>
      </w:r>
      <w:r w:rsidR="008134D1">
        <w:t xml:space="preserve">sector </w:t>
      </w:r>
      <w:r>
        <w:t xml:space="preserve">information papers. The respective sector ministries shall play key functions to ensure the proper management and utilisation of the </w:t>
      </w:r>
      <w:r w:rsidR="007C6899">
        <w:t xml:space="preserve">DDEG </w:t>
      </w:r>
      <w:r>
        <w:t>allocated to their sectors alongside sector development grants and funding from other revenue sources.</w:t>
      </w:r>
    </w:p>
    <w:p w:rsidR="00F94068" w:rsidRDefault="00F94068" w:rsidP="00B20A19">
      <w:pPr>
        <w:spacing w:after="0" w:line="288" w:lineRule="auto"/>
        <w:jc w:val="both"/>
      </w:pPr>
    </w:p>
    <w:p w:rsidR="00B710F4" w:rsidRDefault="0068423E" w:rsidP="00B20A19">
      <w:pPr>
        <w:spacing w:after="0" w:line="288" w:lineRule="auto"/>
        <w:jc w:val="both"/>
      </w:pPr>
      <w:r>
        <w:t>There will be:</w:t>
      </w:r>
    </w:p>
    <w:p w:rsidR="00B710F4" w:rsidRDefault="00B710F4" w:rsidP="002B0638">
      <w:pPr>
        <w:pStyle w:val="ListParagraph"/>
        <w:numPr>
          <w:ilvl w:val="0"/>
          <w:numId w:val="29"/>
        </w:numPr>
        <w:spacing w:after="0" w:line="288" w:lineRule="auto"/>
        <w:jc w:val="both"/>
      </w:pPr>
      <w:r>
        <w:t>The</w:t>
      </w:r>
      <w:r w:rsidR="0068423E">
        <w:t xml:space="preserve"> district discretional development equalisation grant; and </w:t>
      </w:r>
    </w:p>
    <w:p w:rsidR="00B710F4" w:rsidRDefault="00B710F4" w:rsidP="002B0638">
      <w:pPr>
        <w:pStyle w:val="ListParagraph"/>
        <w:numPr>
          <w:ilvl w:val="0"/>
          <w:numId w:val="29"/>
        </w:numPr>
        <w:spacing w:after="0" w:line="288" w:lineRule="auto"/>
        <w:jc w:val="both"/>
      </w:pPr>
      <w:r>
        <w:t>The</w:t>
      </w:r>
      <w:r w:rsidR="0068423E">
        <w:t xml:space="preserve"> urban discretional development equalisation grant</w:t>
      </w:r>
      <w:r w:rsidR="00B20A19">
        <w:t xml:space="preserve">. </w:t>
      </w:r>
    </w:p>
    <w:p w:rsidR="00B710F4" w:rsidRDefault="00B710F4" w:rsidP="002B0638">
      <w:pPr>
        <w:pStyle w:val="ListParagraph"/>
        <w:spacing w:after="0" w:line="288" w:lineRule="auto"/>
        <w:ind w:left="765"/>
        <w:jc w:val="both"/>
      </w:pPr>
    </w:p>
    <w:p w:rsidR="00B710F4" w:rsidRDefault="0068423E" w:rsidP="002B0638">
      <w:pPr>
        <w:spacing w:after="0" w:line="288" w:lineRule="auto"/>
        <w:ind w:left="45"/>
        <w:jc w:val="both"/>
        <w:rPr>
          <w:rFonts w:eastAsia="Calibri" w:cs="Calibri"/>
          <w:color w:val="000000"/>
          <w:kern w:val="24"/>
        </w:rPr>
      </w:pPr>
      <w:r w:rsidRPr="002B0638">
        <w:rPr>
          <w:color w:val="000000"/>
          <w:kern w:val="24"/>
        </w:rPr>
        <w:t xml:space="preserve">The district discretionary development equalisation grant shall have </w:t>
      </w:r>
      <w:r w:rsidR="004F431E" w:rsidRPr="002B0638">
        <w:rPr>
          <w:color w:val="000000"/>
          <w:kern w:val="24"/>
        </w:rPr>
        <w:t>4</w:t>
      </w:r>
      <w:r w:rsidRPr="002B0638">
        <w:rPr>
          <w:color w:val="000000"/>
          <w:kern w:val="24"/>
        </w:rPr>
        <w:t xml:space="preserve"> windows for: (</w:t>
      </w:r>
      <w:proofErr w:type="spellStart"/>
      <w:r w:rsidRPr="002B0638">
        <w:rPr>
          <w:color w:val="000000"/>
          <w:kern w:val="24"/>
        </w:rPr>
        <w:t>i</w:t>
      </w:r>
      <w:proofErr w:type="spellEnd"/>
      <w:r w:rsidRPr="002B0638">
        <w:rPr>
          <w:color w:val="000000"/>
          <w:kern w:val="24"/>
        </w:rPr>
        <w:t xml:space="preserve">) PRDP </w:t>
      </w:r>
      <w:r w:rsidR="004F431E" w:rsidRPr="002B0638">
        <w:rPr>
          <w:color w:val="000000"/>
          <w:kern w:val="24"/>
        </w:rPr>
        <w:t xml:space="preserve">and LRDP Districts </w:t>
      </w:r>
      <w:r w:rsidRPr="002B0638">
        <w:rPr>
          <w:color w:val="000000"/>
          <w:kern w:val="24"/>
        </w:rPr>
        <w:t xml:space="preserve">(allocated to PRDP III </w:t>
      </w:r>
      <w:r w:rsidR="004F431E" w:rsidRPr="002B0638">
        <w:rPr>
          <w:color w:val="000000"/>
          <w:kern w:val="24"/>
        </w:rPr>
        <w:t xml:space="preserve">and LRDP </w:t>
      </w:r>
      <w:r w:rsidRPr="002B0638">
        <w:rPr>
          <w:color w:val="000000"/>
          <w:kern w:val="24"/>
        </w:rPr>
        <w:t xml:space="preserve">districts only); </w:t>
      </w:r>
      <w:r w:rsidR="004F431E" w:rsidRPr="002B0638">
        <w:rPr>
          <w:color w:val="000000"/>
          <w:kern w:val="24"/>
        </w:rPr>
        <w:t>(i</w:t>
      </w:r>
      <w:r w:rsidR="00875EE2" w:rsidRPr="002B0638">
        <w:rPr>
          <w:color w:val="000000"/>
          <w:kern w:val="24"/>
        </w:rPr>
        <w:t>i</w:t>
      </w:r>
      <w:r w:rsidR="004F431E" w:rsidRPr="002B0638">
        <w:rPr>
          <w:color w:val="000000"/>
          <w:kern w:val="24"/>
        </w:rPr>
        <w:t xml:space="preserve">) PRDP and LRDP sub-counties (allocated to PRDP III and LRDP sub-counties only); </w:t>
      </w:r>
      <w:r w:rsidRPr="002B0638">
        <w:rPr>
          <w:color w:val="000000"/>
          <w:kern w:val="24"/>
        </w:rPr>
        <w:t xml:space="preserve">(iii) </w:t>
      </w:r>
      <w:r w:rsidR="004F431E" w:rsidRPr="002B0638">
        <w:rPr>
          <w:color w:val="000000"/>
          <w:kern w:val="24"/>
        </w:rPr>
        <w:t>other d</w:t>
      </w:r>
      <w:r w:rsidRPr="002B0638">
        <w:rPr>
          <w:color w:val="000000"/>
          <w:kern w:val="24"/>
        </w:rPr>
        <w:t>istrict</w:t>
      </w:r>
      <w:r w:rsidR="004F431E" w:rsidRPr="002B0638">
        <w:rPr>
          <w:color w:val="000000"/>
          <w:kern w:val="24"/>
        </w:rPr>
        <w:t>s</w:t>
      </w:r>
      <w:r w:rsidRPr="002B0638">
        <w:rPr>
          <w:color w:val="000000"/>
          <w:kern w:val="24"/>
        </w:rPr>
        <w:t xml:space="preserve"> (allocated to the remaining districts only)</w:t>
      </w:r>
      <w:r w:rsidR="004F431E" w:rsidRPr="002B0638">
        <w:rPr>
          <w:color w:val="000000"/>
          <w:kern w:val="24"/>
        </w:rPr>
        <w:t>; and (iv) other sub-counties (allocated to the remaining sub-counties only)</w:t>
      </w:r>
      <w:r w:rsidRPr="002B0638">
        <w:rPr>
          <w:color w:val="000000"/>
          <w:kern w:val="24"/>
        </w:rPr>
        <w:t xml:space="preserve">. </w:t>
      </w:r>
    </w:p>
    <w:p w:rsidR="00B710F4" w:rsidRDefault="00B710F4" w:rsidP="002B0638">
      <w:pPr>
        <w:spacing w:after="0" w:line="288" w:lineRule="auto"/>
        <w:ind w:left="45"/>
        <w:jc w:val="both"/>
        <w:rPr>
          <w:rFonts w:eastAsia="Calibri" w:cs="Calibri"/>
          <w:color w:val="000000"/>
          <w:kern w:val="24"/>
        </w:rPr>
      </w:pPr>
    </w:p>
    <w:p w:rsidR="007E6485" w:rsidRDefault="007F0D4D" w:rsidP="002B0638">
      <w:pPr>
        <w:spacing w:after="0" w:line="288" w:lineRule="auto"/>
        <w:jc w:val="both"/>
      </w:pPr>
      <w:r w:rsidRPr="002B0638">
        <w:rPr>
          <w:color w:val="000000"/>
          <w:kern w:val="24"/>
        </w:rPr>
        <w:t>Similarly the urban discretion development</w:t>
      </w:r>
      <w:r w:rsidR="006D2BD0" w:rsidRPr="002B0638">
        <w:rPr>
          <w:color w:val="000000"/>
          <w:kern w:val="24"/>
        </w:rPr>
        <w:t xml:space="preserve"> equalisation grant shall have </w:t>
      </w:r>
      <w:r w:rsidR="004F431E" w:rsidRPr="002B0638">
        <w:rPr>
          <w:color w:val="000000"/>
          <w:kern w:val="24"/>
        </w:rPr>
        <w:t>3</w:t>
      </w:r>
      <w:r w:rsidRPr="002B0638">
        <w:rPr>
          <w:color w:val="000000"/>
          <w:kern w:val="24"/>
        </w:rPr>
        <w:t xml:space="preserve"> windows: (</w:t>
      </w:r>
      <w:proofErr w:type="spellStart"/>
      <w:r w:rsidRPr="002B0638">
        <w:rPr>
          <w:color w:val="000000"/>
          <w:kern w:val="24"/>
        </w:rPr>
        <w:t>i</w:t>
      </w:r>
      <w:proofErr w:type="spellEnd"/>
      <w:r w:rsidRPr="002B0638">
        <w:rPr>
          <w:color w:val="000000"/>
          <w:kern w:val="24"/>
        </w:rPr>
        <w:t xml:space="preserve">) </w:t>
      </w:r>
      <w:r w:rsidR="004F431E" w:rsidRPr="002B0638">
        <w:rPr>
          <w:color w:val="000000"/>
          <w:kern w:val="24"/>
        </w:rPr>
        <w:t xml:space="preserve">Municipal </w:t>
      </w:r>
      <w:r w:rsidR="005A1E70" w:rsidRPr="002B0638">
        <w:rPr>
          <w:color w:val="000000"/>
          <w:kern w:val="24"/>
        </w:rPr>
        <w:t xml:space="preserve">USMID </w:t>
      </w:r>
      <w:r w:rsidRPr="002B0638">
        <w:rPr>
          <w:color w:val="000000"/>
          <w:kern w:val="24"/>
        </w:rPr>
        <w:t xml:space="preserve">(allocated to </w:t>
      </w:r>
      <w:r w:rsidR="005A1E70" w:rsidRPr="002B0638">
        <w:rPr>
          <w:color w:val="000000"/>
          <w:kern w:val="24"/>
        </w:rPr>
        <w:t xml:space="preserve">USMID </w:t>
      </w:r>
      <w:r w:rsidR="00875EE2" w:rsidRPr="002B0638">
        <w:rPr>
          <w:color w:val="000000"/>
          <w:kern w:val="24"/>
        </w:rPr>
        <w:t>municipali</w:t>
      </w:r>
      <w:r w:rsidR="004F431E" w:rsidRPr="002B0638">
        <w:rPr>
          <w:color w:val="000000"/>
          <w:kern w:val="24"/>
        </w:rPr>
        <w:t>ties</w:t>
      </w:r>
      <w:r w:rsidRPr="002B0638">
        <w:rPr>
          <w:color w:val="000000"/>
          <w:kern w:val="24"/>
        </w:rPr>
        <w:t xml:space="preserve"> only); </w:t>
      </w:r>
      <w:r w:rsidR="006D2BD0" w:rsidRPr="002B0638">
        <w:rPr>
          <w:color w:val="000000"/>
          <w:kern w:val="24"/>
        </w:rPr>
        <w:t>(ii</w:t>
      </w:r>
      <w:r w:rsidRPr="002B0638">
        <w:rPr>
          <w:color w:val="000000"/>
          <w:kern w:val="24"/>
        </w:rPr>
        <w:t xml:space="preserve">) </w:t>
      </w:r>
      <w:r w:rsidR="004F431E" w:rsidRPr="002B0638">
        <w:rPr>
          <w:color w:val="000000"/>
          <w:kern w:val="24"/>
        </w:rPr>
        <w:t xml:space="preserve">Municipal – non USMID </w:t>
      </w:r>
      <w:r w:rsidRPr="002B0638">
        <w:rPr>
          <w:color w:val="000000"/>
          <w:kern w:val="24"/>
        </w:rPr>
        <w:t xml:space="preserve">(allocated to the remaining </w:t>
      </w:r>
      <w:r w:rsidR="004F431E" w:rsidRPr="002B0638">
        <w:rPr>
          <w:color w:val="000000"/>
          <w:kern w:val="24"/>
        </w:rPr>
        <w:t xml:space="preserve">municipalities </w:t>
      </w:r>
      <w:r w:rsidRPr="002B0638">
        <w:rPr>
          <w:color w:val="000000"/>
          <w:kern w:val="24"/>
        </w:rPr>
        <w:t>only)</w:t>
      </w:r>
      <w:r w:rsidR="004F431E" w:rsidRPr="002B0638">
        <w:rPr>
          <w:color w:val="000000"/>
          <w:kern w:val="24"/>
        </w:rPr>
        <w:t>; and (iii) Town Councils (allocated to Town Councils only)</w:t>
      </w:r>
      <w:r w:rsidR="00B20A19">
        <w:t xml:space="preserve">. </w:t>
      </w:r>
      <w:r w:rsidR="007E6485" w:rsidRPr="002B0638">
        <w:rPr>
          <w:color w:val="000000"/>
          <w:kern w:val="24"/>
        </w:rPr>
        <w:t>Additional windows will be created to cater for</w:t>
      </w:r>
      <w:r w:rsidR="007E6485">
        <w:t xml:space="preserve"> any other regional development programmes that may be introduced.</w:t>
      </w:r>
    </w:p>
    <w:p w:rsidR="007E6485" w:rsidRDefault="007E6485" w:rsidP="005C60B3">
      <w:pPr>
        <w:spacing w:after="0" w:line="288" w:lineRule="auto"/>
        <w:jc w:val="both"/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6756F2" w:rsidTr="002B0638">
        <w:tc>
          <w:tcPr>
            <w:tcW w:w="4338" w:type="dxa"/>
            <w:shd w:val="clear" w:color="auto" w:fill="F2F2F2" w:themeFill="background1" w:themeFillShade="F2"/>
            <w:hideMark/>
          </w:tcPr>
          <w:p w:rsidR="006756F2" w:rsidRDefault="006756F2" w:rsidP="00F731C7">
            <w:pPr>
              <w:tabs>
                <w:tab w:val="left" w:pos="438"/>
              </w:tabs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4860" w:type="dxa"/>
            <w:shd w:val="clear" w:color="auto" w:fill="F2F2F2" w:themeFill="background1" w:themeFillShade="F2"/>
            <w:hideMark/>
          </w:tcPr>
          <w:p w:rsidR="006756F2" w:rsidRDefault="006756F2" w:rsidP="002B0638">
            <w:pPr>
              <w:tabs>
                <w:tab w:val="left" w:pos="438"/>
              </w:tabs>
              <w:jc w:val="right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tabs>
                <w:tab w:val="left" w:pos="438"/>
              </w:tabs>
              <w:rPr>
                <w:b/>
              </w:rPr>
            </w:pPr>
            <w:r>
              <w:rPr>
                <w:b/>
              </w:rPr>
              <w:t>District Discretionary Development Equalisation Grant</w:t>
            </w:r>
          </w:p>
        </w:tc>
        <w:tc>
          <w:tcPr>
            <w:tcW w:w="4860" w:type="dxa"/>
            <w:vMerge w:val="restart"/>
            <w:hideMark/>
          </w:tcPr>
          <w:p w:rsidR="006756F2" w:rsidRDefault="006756F2" w:rsidP="0036618A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</w:pPr>
            <w:r>
              <w:t>Address development needs of rural areas</w:t>
            </w:r>
          </w:p>
          <w:p w:rsidR="006756F2" w:rsidRDefault="006756F2" w:rsidP="0036618A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</w:pPr>
            <w:r>
              <w:t xml:space="preserve">Provide discretion to LGs to fund priorities </w:t>
            </w:r>
          </w:p>
          <w:p w:rsidR="006756F2" w:rsidRDefault="006756F2" w:rsidP="0036618A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</w:pPr>
            <w:r>
              <w:t>Increase adequacy of funding whilst giving preferential treatment to LGs that are lagging behind</w:t>
            </w:r>
          </w:p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jc w:val="both"/>
            </w:pPr>
            <w:r>
              <w:t xml:space="preserve">o/w PRDP and LRDP Districts 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jc w:val="both"/>
            </w:pPr>
            <w:r>
              <w:t>o/w PRDP and LRDP Sub-counties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  <w:tr w:rsidR="006756F2" w:rsidTr="002B0638">
        <w:tc>
          <w:tcPr>
            <w:tcW w:w="4338" w:type="dxa"/>
            <w:hideMark/>
          </w:tcPr>
          <w:p w:rsidR="006756F2" w:rsidRDefault="0036618A" w:rsidP="00F731C7">
            <w:pPr>
              <w:jc w:val="both"/>
            </w:pPr>
            <w:r>
              <w:t>o/w Other D</w:t>
            </w:r>
            <w:r w:rsidR="006756F2">
              <w:t xml:space="preserve">istricts 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jc w:val="both"/>
            </w:pPr>
            <w:r>
              <w:t xml:space="preserve">o/w Other Sub-counties 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tabs>
                <w:tab w:val="left" w:pos="438"/>
              </w:tabs>
              <w:rPr>
                <w:b/>
              </w:rPr>
            </w:pPr>
            <w:r>
              <w:rPr>
                <w:b/>
              </w:rPr>
              <w:t>Urban Discretionary Development Equalisation Grant</w:t>
            </w:r>
          </w:p>
        </w:tc>
        <w:tc>
          <w:tcPr>
            <w:tcW w:w="4860" w:type="dxa"/>
            <w:vMerge w:val="restart"/>
            <w:hideMark/>
          </w:tcPr>
          <w:p w:rsidR="006756F2" w:rsidRDefault="006756F2" w:rsidP="0036618A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</w:pPr>
            <w:r>
              <w:t>Address development needs of urban areas</w:t>
            </w:r>
          </w:p>
          <w:p w:rsidR="006756F2" w:rsidRDefault="006756F2" w:rsidP="0036618A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</w:pPr>
            <w:r>
              <w:t xml:space="preserve">Provide discretion to LGs to fund priorities </w:t>
            </w:r>
          </w:p>
          <w:p w:rsidR="006756F2" w:rsidRDefault="006756F2" w:rsidP="0036618A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</w:pPr>
            <w:r>
              <w:t>Increase adequacy of funding whilst giving preferential treatment to LGs that are lagging behind</w:t>
            </w:r>
          </w:p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jc w:val="both"/>
            </w:pPr>
            <w:r>
              <w:t xml:space="preserve">o/w Municipal USMID 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jc w:val="both"/>
            </w:pPr>
            <w:r>
              <w:t xml:space="preserve">o/w Municipal – non USMID 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  <w:tr w:rsidR="006756F2" w:rsidTr="002B0638">
        <w:tc>
          <w:tcPr>
            <w:tcW w:w="4338" w:type="dxa"/>
            <w:hideMark/>
          </w:tcPr>
          <w:p w:rsidR="006756F2" w:rsidRDefault="006756F2" w:rsidP="00F731C7">
            <w:pPr>
              <w:jc w:val="both"/>
            </w:pPr>
            <w:r>
              <w:t xml:space="preserve">o/w Town Councils </w:t>
            </w:r>
          </w:p>
        </w:tc>
        <w:tc>
          <w:tcPr>
            <w:tcW w:w="0" w:type="auto"/>
            <w:vMerge/>
            <w:hideMark/>
          </w:tcPr>
          <w:p w:rsidR="006756F2" w:rsidRDefault="006756F2" w:rsidP="00F731C7"/>
        </w:tc>
      </w:tr>
    </w:tbl>
    <w:p w:rsidR="004F431E" w:rsidRDefault="004F431E" w:rsidP="005C60B3">
      <w:pPr>
        <w:spacing w:after="0" w:line="288" w:lineRule="auto"/>
        <w:jc w:val="both"/>
      </w:pPr>
    </w:p>
    <w:p w:rsidR="004F431E" w:rsidRDefault="004F431E" w:rsidP="005C60B3">
      <w:pPr>
        <w:spacing w:after="0" w:line="288" w:lineRule="auto"/>
        <w:jc w:val="both"/>
      </w:pPr>
    </w:p>
    <w:p w:rsidR="004F431E" w:rsidRPr="007E6485" w:rsidRDefault="004F431E" w:rsidP="005C60B3">
      <w:pPr>
        <w:spacing w:after="0" w:line="288" w:lineRule="auto"/>
        <w:jc w:val="both"/>
      </w:pPr>
    </w:p>
    <w:p w:rsidR="0068423E" w:rsidRDefault="0068423E" w:rsidP="0068423E">
      <w:pPr>
        <w:spacing w:after="0" w:line="288" w:lineRule="auto"/>
        <w:jc w:val="both"/>
      </w:pPr>
    </w:p>
    <w:p w:rsidR="0068423E" w:rsidRDefault="0068423E" w:rsidP="0031127D">
      <w:pPr>
        <w:pStyle w:val="Heading3"/>
      </w:pPr>
      <w:r>
        <w:lastRenderedPageBreak/>
        <w:t>Grant Allocation Formula</w:t>
      </w:r>
    </w:p>
    <w:p w:rsidR="00644839" w:rsidRDefault="0068423E" w:rsidP="00644839">
      <w:pPr>
        <w:keepNext/>
        <w:keepLines/>
        <w:spacing w:after="0" w:line="288" w:lineRule="auto"/>
        <w:jc w:val="both"/>
      </w:pPr>
      <w:r>
        <w:t>The proposal is for both grants (district and urban) to have t</w:t>
      </w:r>
      <w:r w:rsidR="00332888">
        <w:t xml:space="preserve">wo </w:t>
      </w:r>
      <w:r>
        <w:t>components: (</w:t>
      </w:r>
      <w:proofErr w:type="spellStart"/>
      <w:r>
        <w:t>i</w:t>
      </w:r>
      <w:proofErr w:type="spellEnd"/>
      <w:r>
        <w:t xml:space="preserve">) the basic component allocated based on the allocation criteria; and (ii) the performance component based on the performance of the LG. </w:t>
      </w:r>
    </w:p>
    <w:p w:rsidR="00644839" w:rsidRPr="00644839" w:rsidRDefault="00644839" w:rsidP="00644839">
      <w:pPr>
        <w:pStyle w:val="Heading4"/>
        <w:rPr>
          <w:i w:val="0"/>
        </w:rPr>
      </w:pPr>
      <w:r w:rsidRPr="00644839">
        <w:rPr>
          <w:i w:val="0"/>
        </w:rPr>
        <w:t>Basic component allocated based on the allocation criteria</w:t>
      </w:r>
    </w:p>
    <w:p w:rsidR="0068423E" w:rsidRDefault="0068423E" w:rsidP="00644839">
      <w:pPr>
        <w:keepNext/>
        <w:keepLines/>
        <w:spacing w:after="0" w:line="288" w:lineRule="auto"/>
        <w:jc w:val="both"/>
      </w:pPr>
      <w:r>
        <w:t>The proposed grant allocation formula for the basic component (</w:t>
      </w:r>
      <w:r w:rsidR="00BB42E7">
        <w:t xml:space="preserve">albeit with different weighting </w:t>
      </w:r>
      <w:r>
        <w:t xml:space="preserve">applicable to both district and urban LGs) is described in the table below. </w:t>
      </w:r>
    </w:p>
    <w:p w:rsidR="0047241D" w:rsidRDefault="0047241D" w:rsidP="005C60B3">
      <w:pPr>
        <w:spacing w:after="0" w:line="288" w:lineRule="auto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810"/>
        <w:gridCol w:w="630"/>
        <w:gridCol w:w="900"/>
        <w:gridCol w:w="810"/>
        <w:gridCol w:w="810"/>
        <w:gridCol w:w="990"/>
        <w:gridCol w:w="720"/>
        <w:gridCol w:w="1980"/>
        <w:tblGridChange w:id="0">
          <w:tblGrid>
            <w:gridCol w:w="1368"/>
            <w:gridCol w:w="810"/>
            <w:gridCol w:w="630"/>
            <w:gridCol w:w="900"/>
            <w:gridCol w:w="810"/>
            <w:gridCol w:w="810"/>
            <w:gridCol w:w="990"/>
            <w:gridCol w:w="720"/>
            <w:gridCol w:w="1980"/>
          </w:tblGrid>
        </w:tblGridChange>
      </w:tblGrid>
      <w:tr w:rsidR="006756F2" w:rsidTr="002B0638">
        <w:trPr>
          <w:tblHeader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both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Variable name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Weighting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both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 xml:space="preserve">Justification </w:t>
            </w:r>
          </w:p>
        </w:tc>
      </w:tr>
      <w:tr w:rsidR="006756F2" w:rsidTr="002B0638">
        <w:trPr>
          <w:tblHeader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2B0638" w:rsidRDefault="006756F2" w:rsidP="00F731C7">
            <w:pPr>
              <w:rPr>
                <w:b/>
                <w:sz w:val="16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District DDEG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Urban DDEG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2B0638" w:rsidRDefault="006756F2" w:rsidP="00F731C7">
            <w:pPr>
              <w:rPr>
                <w:b/>
                <w:sz w:val="16"/>
              </w:rPr>
            </w:pPr>
          </w:p>
        </w:tc>
      </w:tr>
      <w:tr w:rsidR="00611024" w:rsidTr="00C86192">
        <w:trPr>
          <w:tblHeader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2B0638" w:rsidRDefault="006756F2" w:rsidP="00F731C7">
            <w:pPr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PRDP &amp; LRDP Districts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Other districts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PRDP and LRDP Sub-counties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Other Sub-counties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USMID Municipalities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Non USMID Municipalities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56F2" w:rsidRPr="002B0638" w:rsidRDefault="006756F2" w:rsidP="00F731C7">
            <w:pPr>
              <w:spacing w:line="288" w:lineRule="auto"/>
              <w:jc w:val="center"/>
              <w:rPr>
                <w:b/>
                <w:sz w:val="16"/>
              </w:rPr>
            </w:pPr>
            <w:r w:rsidRPr="002B0638">
              <w:rPr>
                <w:b/>
                <w:sz w:val="16"/>
              </w:rPr>
              <w:t>Town Councils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2B0638" w:rsidRDefault="006756F2" w:rsidP="00F731C7">
            <w:pPr>
              <w:rPr>
                <w:b/>
                <w:sz w:val="16"/>
              </w:rPr>
            </w:pPr>
          </w:p>
        </w:tc>
      </w:tr>
      <w:tr w:rsidR="006756F2" w:rsidTr="002B0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Conflict</w:t>
            </w:r>
            <w:r w:rsidRPr="000311A1">
              <w:rPr>
                <w:rStyle w:val="FootnoteReference"/>
                <w:rFonts w:eastAsia="Calibri" w:cs="Calibri"/>
                <w:color w:val="000000"/>
                <w:kern w:val="24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Allocate more resources to LGs severely affected by conflict</w:t>
            </w:r>
          </w:p>
        </w:tc>
      </w:tr>
      <w:tr w:rsidR="006756F2" w:rsidTr="002B0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Constant (fixed allocation for higher/ LLGs)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rFonts w:eastAsia="Calibri" w:cs="Calibri"/>
                <w:color w:val="000000"/>
                <w:kern w:val="24"/>
                <w:sz w:val="20"/>
                <w:szCs w:val="20"/>
              </w:rPr>
              <w:t>Ensure that Higher and Lower LGs have minimum allocations for construction of meaningful infrastructure</w:t>
            </w:r>
          </w:p>
        </w:tc>
      </w:tr>
      <w:tr w:rsidR="006756F2" w:rsidTr="002B0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Rural  Population / Urban Population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Provide for demand/scale of delivering services</w:t>
            </w:r>
          </w:p>
        </w:tc>
      </w:tr>
      <w:tr w:rsidR="006756F2" w:rsidTr="002B0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Poverty Head 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rFonts w:eastAsia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Equalizing variables - to </w:t>
            </w:r>
            <w:r w:rsidRPr="000311A1">
              <w:rPr>
                <w:rFonts w:eastAsia="Calibri" w:cs="Calibri"/>
                <w:color w:val="000000"/>
                <w:kern w:val="24"/>
                <w:sz w:val="20"/>
                <w:szCs w:val="20"/>
              </w:rPr>
              <w:t>allocate greater resources to districts that lag behind as per article 193 (4) of the Constitution.</w:t>
            </w:r>
          </w:p>
        </w:tc>
      </w:tr>
      <w:tr w:rsidR="006756F2" w:rsidTr="002B0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Land 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F2" w:rsidRPr="000311A1" w:rsidRDefault="006756F2" w:rsidP="002B063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0311A1">
              <w:rPr>
                <w:sz w:val="20"/>
                <w:szCs w:val="20"/>
              </w:rPr>
              <w:t>Provide for costs of delivering services</w:t>
            </w:r>
          </w:p>
        </w:tc>
      </w:tr>
    </w:tbl>
    <w:p w:rsidR="000C2D4B" w:rsidRDefault="000C2D4B" w:rsidP="005C60B3">
      <w:pPr>
        <w:spacing w:after="0" w:line="288" w:lineRule="auto"/>
        <w:jc w:val="both"/>
      </w:pPr>
    </w:p>
    <w:p w:rsidR="009E24D9" w:rsidRDefault="0036618A" w:rsidP="00644839">
      <w:pPr>
        <w:spacing w:after="0" w:line="288" w:lineRule="auto"/>
        <w:jc w:val="both"/>
      </w:pPr>
      <w:r>
        <w:t>In both District and U</w:t>
      </w:r>
      <w:r w:rsidR="009E24D9">
        <w:t xml:space="preserve">rban </w:t>
      </w:r>
      <w:r>
        <w:t xml:space="preserve">DDEG </w:t>
      </w:r>
      <w:r w:rsidR="009E24D9">
        <w:t>allocations:</w:t>
      </w:r>
    </w:p>
    <w:p w:rsidR="009E24D9" w:rsidRDefault="009E24D9" w:rsidP="0036618A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>The global PRDP and LRDP allocation will be maintained, thereby maintaining the additionality</w:t>
      </w:r>
      <w:r w:rsidRPr="00375AF5">
        <w:t xml:space="preserve"> of the PRDP and LRDP</w:t>
      </w:r>
      <w:r w:rsidR="008134D1">
        <w:t xml:space="preserve"> to the relevant groups of districts</w:t>
      </w:r>
      <w:r>
        <w:t xml:space="preserve">.  </w:t>
      </w:r>
      <w:r w:rsidR="0036618A">
        <w:t xml:space="preserve">For example, LGs under PRDP will continue </w:t>
      </w:r>
      <w:r w:rsidR="0036618A">
        <w:lastRenderedPageBreak/>
        <w:t xml:space="preserve">to get </w:t>
      </w:r>
      <w:r w:rsidR="009003BE">
        <w:t>relatively higher per capital allocations compared to those that are not covered thereby maintaining the additionality to the PRDP districts.</w:t>
      </w:r>
    </w:p>
    <w:p w:rsidR="009E24D9" w:rsidRDefault="009E24D9" w:rsidP="0036618A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>Similarly, globally, the USMID municipalities will not get a lower per capita allocation</w:t>
      </w:r>
      <w:r w:rsidR="008134D1">
        <w:t>.</w:t>
      </w:r>
      <w:r>
        <w:t xml:space="preserve"> </w:t>
      </w:r>
      <w:r w:rsidR="008134D1">
        <w:t>I</w:t>
      </w:r>
      <w:r>
        <w:t>nstead the non-USMID urban LGs will get a higher per capita allocation</w:t>
      </w:r>
      <w:r>
        <w:rPr>
          <w:rStyle w:val="FootnoteReference"/>
        </w:rPr>
        <w:footnoteReference w:id="3"/>
      </w:r>
      <w:r>
        <w:t xml:space="preserve">. </w:t>
      </w:r>
    </w:p>
    <w:p w:rsidR="009E24D9" w:rsidRDefault="008134D1" w:rsidP="0036618A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>However, i</w:t>
      </w:r>
      <w:r w:rsidR="009E24D9">
        <w:t xml:space="preserve">n application of the allocation formulae, some individuals LGs </w:t>
      </w:r>
      <w:r>
        <w:t xml:space="preserve">within these groups </w:t>
      </w:r>
      <w:r w:rsidR="009E24D9">
        <w:t>may get less than the existing allocations, some may get more.</w:t>
      </w:r>
    </w:p>
    <w:p w:rsidR="009003BE" w:rsidRDefault="009003BE" w:rsidP="00644839">
      <w:pPr>
        <w:spacing w:after="0" w:line="288" w:lineRule="auto"/>
        <w:jc w:val="both"/>
      </w:pPr>
    </w:p>
    <w:p w:rsidR="0068423E" w:rsidRDefault="0068423E" w:rsidP="00644839">
      <w:pPr>
        <w:spacing w:after="0" w:line="288" w:lineRule="auto"/>
        <w:jc w:val="both"/>
      </w:pPr>
      <w:r>
        <w:t xml:space="preserve">Overall, the </w:t>
      </w:r>
      <w:r w:rsidR="008134D1">
        <w:t xml:space="preserve">intent of the </w:t>
      </w:r>
      <w:r w:rsidRPr="00644839">
        <w:rPr>
          <w:rFonts w:eastAsia="Calibri" w:cs="Calibri"/>
          <w:color w:val="000000"/>
          <w:kern w:val="24"/>
        </w:rPr>
        <w:t>allocation formula is</w:t>
      </w:r>
      <w:r w:rsidR="008134D1">
        <w:rPr>
          <w:rFonts w:eastAsia="Calibri" w:cs="Calibri"/>
          <w:color w:val="000000"/>
          <w:kern w:val="24"/>
        </w:rPr>
        <w:t xml:space="preserve"> that it should</w:t>
      </w:r>
      <w:r w:rsidRPr="00644839">
        <w:rPr>
          <w:rFonts w:eastAsia="Calibri" w:cs="Calibri"/>
          <w:color w:val="000000"/>
          <w:kern w:val="24"/>
        </w:rPr>
        <w:t xml:space="preserve">: </w:t>
      </w:r>
      <w:r w:rsidR="008134D1">
        <w:rPr>
          <w:rFonts w:eastAsia="Calibri" w:cs="Calibri"/>
          <w:color w:val="000000"/>
          <w:kern w:val="24"/>
        </w:rPr>
        <w:t xml:space="preserve">be </w:t>
      </w:r>
      <w:r w:rsidRPr="00644839">
        <w:rPr>
          <w:rFonts w:eastAsia="Calibri" w:cs="Calibri"/>
          <w:color w:val="000000"/>
          <w:kern w:val="24"/>
        </w:rPr>
        <w:t>objective</w:t>
      </w:r>
      <w:r w:rsidR="008134D1">
        <w:rPr>
          <w:rFonts w:eastAsia="Calibri" w:cs="Calibri"/>
          <w:color w:val="000000"/>
          <w:kern w:val="24"/>
        </w:rPr>
        <w:t>,</w:t>
      </w:r>
      <w:r w:rsidRPr="00644839">
        <w:rPr>
          <w:rFonts w:eastAsia="Calibri" w:cs="Calibri"/>
          <w:color w:val="000000"/>
          <w:kern w:val="24"/>
        </w:rPr>
        <w:t xml:space="preserve"> simple and easy to understand; </w:t>
      </w:r>
      <w:r w:rsidR="008134D1">
        <w:rPr>
          <w:rFonts w:eastAsia="Calibri" w:cs="Calibri"/>
          <w:color w:val="000000"/>
          <w:kern w:val="24"/>
        </w:rPr>
        <w:t xml:space="preserve">be </w:t>
      </w:r>
      <w:r w:rsidR="00BB42E7" w:rsidRPr="00644839">
        <w:rPr>
          <w:rFonts w:eastAsia="Calibri" w:cs="Calibri"/>
          <w:color w:val="000000"/>
          <w:kern w:val="24"/>
        </w:rPr>
        <w:t xml:space="preserve">(politically) </w:t>
      </w:r>
      <w:r w:rsidRPr="00644839">
        <w:rPr>
          <w:rFonts w:eastAsia="Calibri" w:cs="Calibri"/>
          <w:color w:val="000000"/>
          <w:kern w:val="24"/>
        </w:rPr>
        <w:t>acceptable</w:t>
      </w:r>
      <w:r w:rsidR="008134D1">
        <w:rPr>
          <w:rFonts w:eastAsia="Calibri" w:cs="Calibri"/>
          <w:color w:val="000000"/>
          <w:kern w:val="24"/>
        </w:rPr>
        <w:t>;</w:t>
      </w:r>
      <w:r w:rsidRPr="00644839">
        <w:rPr>
          <w:rFonts w:eastAsia="Calibri" w:cs="Calibri"/>
          <w:color w:val="000000"/>
          <w:kern w:val="24"/>
        </w:rPr>
        <w:t xml:space="preserve"> use reliable information from official sources; not introduce pervasive incentives </w:t>
      </w:r>
      <w:r w:rsidR="00BB42E7" w:rsidRPr="00644839">
        <w:rPr>
          <w:rFonts w:eastAsia="Calibri" w:cs="Calibri"/>
          <w:color w:val="000000"/>
          <w:kern w:val="24"/>
        </w:rPr>
        <w:t xml:space="preserve">at sector level </w:t>
      </w:r>
      <w:r w:rsidRPr="00644839">
        <w:rPr>
          <w:rFonts w:eastAsia="Calibri" w:cs="Calibri"/>
          <w:color w:val="000000"/>
          <w:kern w:val="24"/>
        </w:rPr>
        <w:t>and is above all equalizing.</w:t>
      </w:r>
      <w:r w:rsidR="00644839">
        <w:t xml:space="preserve"> </w:t>
      </w:r>
      <w:r>
        <w:t xml:space="preserve">During FY 2016/17 all the grants will be allocated entirely based on the basic allocation criteria and the performance component will not apply </w:t>
      </w:r>
      <w:r w:rsidR="00C45B4F">
        <w:t>except</w:t>
      </w:r>
      <w:r w:rsidR="005E3451">
        <w:t xml:space="preserve"> for municipalities under USMID </w:t>
      </w:r>
      <w:r>
        <w:t>(see below).</w:t>
      </w:r>
    </w:p>
    <w:p w:rsidR="00E00B6A" w:rsidRDefault="00E00B6A" w:rsidP="000311A1">
      <w:pPr>
        <w:spacing w:after="0" w:line="288" w:lineRule="auto"/>
        <w:jc w:val="both"/>
      </w:pPr>
    </w:p>
    <w:p w:rsidR="006756F2" w:rsidRDefault="006756F2" w:rsidP="00B47DB1">
      <w:pPr>
        <w:jc w:val="both"/>
      </w:pPr>
      <w:r w:rsidRPr="00E554CF">
        <w:t xml:space="preserve">The </w:t>
      </w:r>
      <w:r w:rsidRPr="00E554CF">
        <w:rPr>
          <w:b/>
        </w:rPr>
        <w:t>medium term phase in plan</w:t>
      </w:r>
      <w:r w:rsidRPr="00E554CF">
        <w:t xml:space="preserve"> for the allocation formulae, in line with the </w:t>
      </w:r>
      <w:r>
        <w:t>1</w:t>
      </w:r>
      <w:r w:rsidRPr="005339B3">
        <w:rPr>
          <w:vertAlign w:val="superscript"/>
        </w:rPr>
        <w:t>st</w:t>
      </w:r>
      <w:r>
        <w:t xml:space="preserve"> </w:t>
      </w:r>
      <w:r w:rsidRPr="00E554CF">
        <w:t xml:space="preserve">Budget Call Circular </w:t>
      </w:r>
      <w:r>
        <w:t>is</w:t>
      </w:r>
      <w:r w:rsidRPr="00E554CF">
        <w:t xml:space="preserve"> as follows:</w:t>
      </w:r>
    </w:p>
    <w:tbl>
      <w:tblPr>
        <w:tblW w:w="9561" w:type="dxa"/>
        <w:tblLook w:val="04A0" w:firstRow="1" w:lastRow="0" w:firstColumn="1" w:lastColumn="0" w:noHBand="0" w:noVBand="1"/>
      </w:tblPr>
      <w:tblGrid>
        <w:gridCol w:w="3681"/>
        <w:gridCol w:w="980"/>
        <w:gridCol w:w="980"/>
        <w:gridCol w:w="980"/>
        <w:gridCol w:w="980"/>
        <w:gridCol w:w="980"/>
        <w:gridCol w:w="980"/>
        <w:tblGridChange w:id="1">
          <w:tblGrid>
            <w:gridCol w:w="3681"/>
            <w:gridCol w:w="980"/>
            <w:gridCol w:w="980"/>
            <w:gridCol w:w="980"/>
            <w:gridCol w:w="980"/>
            <w:gridCol w:w="980"/>
            <w:gridCol w:w="980"/>
          </w:tblGrid>
        </w:tblGridChange>
      </w:tblGrid>
      <w:tr w:rsidR="00611024" w:rsidRPr="00333E6B" w:rsidTr="00F731C7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2015/16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2016/17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2017/18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2018/19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2019/20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2020/21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Discretionary Development Equalisation Grants</w:t>
            </w:r>
            <w:r w:rsidR="002A61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2A61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UShs</w:t>
            </w:r>
            <w:proofErr w:type="spellEnd"/>
            <w:r w:rsidR="002A61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Bn.)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408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2A61D4" w:rsidP="00F73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District</w:t>
            </w: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756F2"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Discretionary Development Equalisation Grant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251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03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o/w </w:t>
            </w:r>
            <w:r w:rsidR="002A61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District</w:t>
            </w:r>
            <w:r w:rsidR="002A61D4"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DDEG - Other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o/w District DDEG - Other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o/w 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Sub</w:t>
            </w:r>
            <w:r w:rsidR="002A61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61D4"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ounty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DDEG - Other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03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o/w </w:t>
            </w:r>
            <w:r w:rsidR="002A61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District</w:t>
            </w:r>
            <w:r w:rsidR="002A61D4"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DDEG - PRDP &amp; LRDP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230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o/w 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Sub</w:t>
            </w:r>
            <w:r w:rsidR="002A61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61D4"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County</w:t>
            </w: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DDEG - PRDP &amp; LRDP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o/w District DDEG - PRDP &amp; LRDP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Urban Discretionary Development Equalisation Grant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157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o/w Municipal DDEG (USMID)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o/w Municipal DDEG (non USMID)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o/w Town DDEG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611024" w:rsidRPr="00333E6B" w:rsidTr="00F731C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ind w:left="313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Percentage formula usage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F2" w:rsidRPr="00333E6B" w:rsidRDefault="006756F2" w:rsidP="00F73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33E6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</w:tbl>
    <w:p w:rsidR="006756F2" w:rsidRDefault="006756F2" w:rsidP="000311A1">
      <w:pPr>
        <w:spacing w:after="0" w:line="288" w:lineRule="auto"/>
        <w:jc w:val="both"/>
      </w:pPr>
    </w:p>
    <w:p w:rsidR="0068423E" w:rsidRPr="00644839" w:rsidRDefault="0068423E" w:rsidP="00644839">
      <w:pPr>
        <w:pStyle w:val="Heading4"/>
        <w:rPr>
          <w:i w:val="0"/>
        </w:rPr>
      </w:pPr>
      <w:r w:rsidRPr="00644839">
        <w:rPr>
          <w:i w:val="0"/>
        </w:rPr>
        <w:t>Performance Component based on the performance of the LG</w:t>
      </w:r>
      <w:r w:rsidR="008134D1">
        <w:rPr>
          <w:i w:val="0"/>
        </w:rPr>
        <w:t xml:space="preserve"> (to be applied </w:t>
      </w:r>
      <w:r w:rsidR="00CE5ABF">
        <w:rPr>
          <w:i w:val="0"/>
        </w:rPr>
        <w:t xml:space="preserve">starting </w:t>
      </w:r>
      <w:r w:rsidR="008134D1">
        <w:rPr>
          <w:i w:val="0"/>
        </w:rPr>
        <w:t>from 2017/18</w:t>
      </w:r>
      <w:r w:rsidR="00CE5ABF">
        <w:rPr>
          <w:i w:val="0"/>
        </w:rPr>
        <w:t>)</w:t>
      </w:r>
    </w:p>
    <w:p w:rsidR="000067D3" w:rsidRDefault="0068423E" w:rsidP="00644839">
      <w:pPr>
        <w:spacing w:after="0" w:line="288" w:lineRule="auto"/>
        <w:jc w:val="both"/>
      </w:pPr>
      <w:r>
        <w:t xml:space="preserve">The performance component of the grant will depend on the performance of the LG during </w:t>
      </w:r>
      <w:r w:rsidR="00252ABB">
        <w:t>an a</w:t>
      </w:r>
      <w:r w:rsidR="00457DFB">
        <w:t>nnual</w:t>
      </w:r>
      <w:r>
        <w:t xml:space="preserve"> LG performance assessment</w:t>
      </w:r>
      <w:r w:rsidR="009E24D9">
        <w:t>.</w:t>
      </w:r>
      <w:r w:rsidR="009E24D9">
        <w:t xml:space="preserve"> </w:t>
      </w:r>
      <w:r w:rsidR="00457DFB">
        <w:t>The results of the assessment w</w:t>
      </w:r>
      <w:r>
        <w:t>ill be weighted and compared t</w:t>
      </w:r>
      <w:r w:rsidR="009E24D9">
        <w:t>o the performance of other LGs.</w:t>
      </w:r>
      <w:r w:rsidR="00644839">
        <w:t xml:space="preserve"> </w:t>
      </w:r>
      <w:r>
        <w:t xml:space="preserve">Government will build on the performance assessment system that has </w:t>
      </w:r>
      <w:r>
        <w:lastRenderedPageBreak/>
        <w:t xml:space="preserve">been applied to the LGs by the </w:t>
      </w:r>
      <w:proofErr w:type="spellStart"/>
      <w:r>
        <w:t>MoLG</w:t>
      </w:r>
      <w:proofErr w:type="spellEnd"/>
      <w:r>
        <w:t xml:space="preserve"> (LGMSDP)</w:t>
      </w:r>
      <w:r w:rsidR="00CE5ABF">
        <w:t>,</w:t>
      </w:r>
      <w:r>
        <w:t xml:space="preserve"> </w:t>
      </w:r>
      <w:proofErr w:type="spellStart"/>
      <w:r>
        <w:t>MoLHUD</w:t>
      </w:r>
      <w:proofErr w:type="spellEnd"/>
      <w:r>
        <w:t xml:space="preserve"> (USMID)</w:t>
      </w:r>
      <w:r w:rsidR="00CE5ABF">
        <w:t xml:space="preserve"> and OPM (GAPR)</w:t>
      </w:r>
      <w:r>
        <w:t xml:space="preserve"> to design a revised </w:t>
      </w:r>
      <w:r w:rsidR="008134D1">
        <w:t xml:space="preserve">system </w:t>
      </w:r>
      <w:r>
        <w:t xml:space="preserve">during </w:t>
      </w:r>
      <w:r w:rsidR="002A61D4">
        <w:t xml:space="preserve">FY </w:t>
      </w:r>
      <w:r>
        <w:t xml:space="preserve">2015/16. The main areas that will be improved include: the indicators being assessed and how they are scored; the assessment process, timing and teams; </w:t>
      </w:r>
      <w:r w:rsidR="00252ABB">
        <w:t xml:space="preserve">quality assurance/ verification of assessment results; </w:t>
      </w:r>
      <w:r w:rsidR="00644839">
        <w:t>and</w:t>
      </w:r>
      <w:r>
        <w:t xml:space="preserve"> mechanism of administering rewards and sanctions. </w:t>
      </w:r>
      <w:r w:rsidR="00C45B4F">
        <w:t xml:space="preserve">  The USMID assessment will continue to be applied for </w:t>
      </w:r>
      <w:r w:rsidR="002A61D4">
        <w:t xml:space="preserve">FY </w:t>
      </w:r>
      <w:r w:rsidR="00C45B4F">
        <w:t>2016/17 with the new assessment process starting in</w:t>
      </w:r>
      <w:r w:rsidR="00C45B4F">
        <w:t xml:space="preserve"> </w:t>
      </w:r>
      <w:r w:rsidR="002A61D4">
        <w:t>FY</w:t>
      </w:r>
      <w:r w:rsidR="00C45B4F">
        <w:t xml:space="preserve"> 2017/18.</w:t>
      </w:r>
    </w:p>
    <w:p w:rsidR="000067D3" w:rsidRDefault="000067D3" w:rsidP="00644839">
      <w:pPr>
        <w:spacing w:after="0" w:line="288" w:lineRule="auto"/>
        <w:jc w:val="both"/>
      </w:pPr>
    </w:p>
    <w:p w:rsidR="0068423E" w:rsidRDefault="0068423E" w:rsidP="00644839">
      <w:pPr>
        <w:spacing w:after="0" w:line="288" w:lineRule="auto"/>
        <w:jc w:val="both"/>
      </w:pPr>
      <w:r>
        <w:t>Since the results</w:t>
      </w:r>
      <w:r w:rsidR="000067D3">
        <w:t xml:space="preserve"> of the performance assessment</w:t>
      </w:r>
      <w:r>
        <w:t xml:space="preserve"> in FY year “n” determine the allocation of the grant in FY “n+1”, the revised LG Performance Assessment system</w:t>
      </w:r>
      <w:r w:rsidR="00A74C07">
        <w:t>,</w:t>
      </w:r>
      <w:r>
        <w:t xml:space="preserve"> </w:t>
      </w:r>
      <w:r w:rsidR="00A74C07">
        <w:t xml:space="preserve">as </w:t>
      </w:r>
      <w:r w:rsidR="00252ABB">
        <w:t xml:space="preserve">first </w:t>
      </w:r>
      <w:r>
        <w:t>implemented during FY 201</w:t>
      </w:r>
      <w:r w:rsidR="00377745">
        <w:t>6</w:t>
      </w:r>
      <w:r>
        <w:t>/1</w:t>
      </w:r>
      <w:r w:rsidR="00377745">
        <w:t>7</w:t>
      </w:r>
      <w:r w:rsidR="00A74C07">
        <w:t>,</w:t>
      </w:r>
      <w:r>
        <w:t xml:space="preserve"> will impact on the allocations for </w:t>
      </w:r>
      <w:r w:rsidR="002A61D4">
        <w:t xml:space="preserve">FY </w:t>
      </w:r>
      <w:r>
        <w:t>201</w:t>
      </w:r>
      <w:r w:rsidR="00377745">
        <w:t>7</w:t>
      </w:r>
      <w:r>
        <w:t>/1</w:t>
      </w:r>
      <w:r w:rsidR="00377745">
        <w:t>8</w:t>
      </w:r>
      <w:r>
        <w:t>.</w:t>
      </w:r>
      <w:r w:rsidR="00377745">
        <w:t xml:space="preserve"> For FY</w:t>
      </w:r>
      <w:r w:rsidR="00252ABB">
        <w:t xml:space="preserve"> 2016/17, with the ex</w:t>
      </w:r>
      <w:r w:rsidR="009E24D9">
        <w:t>c</w:t>
      </w:r>
      <w:r w:rsidR="00252ABB">
        <w:t xml:space="preserve">eption of USMID </w:t>
      </w:r>
      <w:r w:rsidR="005E3451">
        <w:t>municipalities</w:t>
      </w:r>
      <w:r w:rsidR="00252ABB">
        <w:t xml:space="preserve">, performance assessment results will not have an impact on LG allocations.  </w:t>
      </w:r>
      <w:r w:rsidR="000067D3">
        <w:t xml:space="preserve">Before changes are introduced, LGs will be informed of the </w:t>
      </w:r>
      <w:r w:rsidR="00C45B4F">
        <w:t xml:space="preserve">details </w:t>
      </w:r>
      <w:r w:rsidR="000067D3">
        <w:t>and implications of the revised performance assessment system.</w:t>
      </w:r>
      <w:r w:rsidR="00C45B4F">
        <w:t xml:space="preserve">  </w:t>
      </w:r>
    </w:p>
    <w:p w:rsidR="0068423E" w:rsidRPr="007C0751" w:rsidRDefault="0068423E" w:rsidP="00BB5E2F"/>
    <w:p w:rsidR="0091047B" w:rsidRDefault="0091047B" w:rsidP="007C0751">
      <w:pPr>
        <w:pStyle w:val="Heading2"/>
      </w:pPr>
      <w:r>
        <w:t>Overview of Development Budget</w:t>
      </w:r>
      <w:r w:rsidR="00252ABB">
        <w:t>ing</w:t>
      </w:r>
      <w:r>
        <w:t xml:space="preserve"> and </w:t>
      </w:r>
      <w:r w:rsidR="007C0751">
        <w:t xml:space="preserve">Management </w:t>
      </w:r>
      <w:r>
        <w:t>Requirements</w:t>
      </w:r>
    </w:p>
    <w:p w:rsidR="00D0591A" w:rsidRDefault="00D0591A" w:rsidP="00D0591A">
      <w:pPr>
        <w:pStyle w:val="ListParagraph"/>
        <w:spacing w:after="0" w:line="288" w:lineRule="auto"/>
        <w:ind w:left="360"/>
        <w:jc w:val="both"/>
        <w:rPr>
          <w:rFonts w:eastAsia="Calibri" w:cs="Calibri"/>
          <w:color w:val="000000"/>
          <w:kern w:val="24"/>
        </w:rPr>
      </w:pPr>
    </w:p>
    <w:p w:rsidR="00252ABB" w:rsidRPr="00644839" w:rsidRDefault="00CF14B8" w:rsidP="00644839">
      <w:pPr>
        <w:spacing w:after="0" w:line="288" w:lineRule="auto"/>
        <w:jc w:val="both"/>
        <w:rPr>
          <w:rFonts w:eastAsia="Calibri" w:cs="Calibri"/>
          <w:color w:val="000000"/>
          <w:kern w:val="24"/>
        </w:rPr>
      </w:pPr>
      <w:r w:rsidRPr="00644839">
        <w:rPr>
          <w:rFonts w:eastAsia="Calibri" w:cs="Calibri"/>
          <w:color w:val="000000"/>
          <w:kern w:val="24"/>
        </w:rPr>
        <w:t>To maximise synergies, t</w:t>
      </w:r>
      <w:r w:rsidR="0091047B" w:rsidRPr="00644839">
        <w:rPr>
          <w:rFonts w:eastAsia="Calibri" w:cs="Calibri"/>
          <w:color w:val="000000"/>
          <w:kern w:val="24"/>
        </w:rPr>
        <w:t xml:space="preserve">he LGs will use the same </w:t>
      </w:r>
      <w:r w:rsidR="002A61D4" w:rsidRPr="00644839">
        <w:rPr>
          <w:rFonts w:eastAsia="Calibri" w:cs="Calibri"/>
          <w:color w:val="000000"/>
          <w:kern w:val="24"/>
        </w:rPr>
        <w:t>Planning, Budgeting, Procurement, Project Execution, Reporting</w:t>
      </w:r>
      <w:r w:rsidR="00D0591A" w:rsidRPr="00644839">
        <w:rPr>
          <w:rFonts w:eastAsia="Calibri" w:cs="Calibri"/>
          <w:color w:val="000000"/>
          <w:kern w:val="24"/>
        </w:rPr>
        <w:t>,</w:t>
      </w:r>
      <w:r w:rsidR="0091047B" w:rsidRPr="00644839">
        <w:rPr>
          <w:rFonts w:eastAsia="Calibri" w:cs="Calibri"/>
          <w:color w:val="000000"/>
          <w:kern w:val="24"/>
        </w:rPr>
        <w:t xml:space="preserve"> </w:t>
      </w:r>
      <w:r w:rsidR="00FB599D" w:rsidRPr="00644839">
        <w:rPr>
          <w:rFonts w:eastAsia="Calibri" w:cs="Calibri"/>
          <w:color w:val="000000"/>
          <w:kern w:val="24"/>
        </w:rPr>
        <w:t xml:space="preserve">and </w:t>
      </w:r>
      <w:r w:rsidR="002A61D4" w:rsidRPr="00644839">
        <w:rPr>
          <w:rFonts w:eastAsia="Calibri" w:cs="Calibri"/>
          <w:color w:val="000000"/>
          <w:kern w:val="24"/>
        </w:rPr>
        <w:t>Performance Assessments</w:t>
      </w:r>
      <w:r w:rsidR="00FB599D" w:rsidRPr="00644839">
        <w:rPr>
          <w:rFonts w:eastAsia="Calibri" w:cs="Calibri"/>
          <w:color w:val="000000"/>
          <w:kern w:val="24"/>
        </w:rPr>
        <w:t xml:space="preserve"> </w:t>
      </w:r>
      <w:r w:rsidR="0091047B" w:rsidRPr="00644839">
        <w:rPr>
          <w:rFonts w:eastAsia="Calibri" w:cs="Calibri"/>
          <w:color w:val="000000"/>
          <w:kern w:val="24"/>
        </w:rPr>
        <w:t xml:space="preserve">for all development funds: </w:t>
      </w:r>
      <w:r w:rsidR="002A61D4" w:rsidRPr="00644839">
        <w:rPr>
          <w:rFonts w:eastAsia="Calibri" w:cs="Calibri"/>
          <w:color w:val="000000"/>
          <w:kern w:val="24"/>
        </w:rPr>
        <w:t>Discretionary Development Equalisation Grant</w:t>
      </w:r>
      <w:r w:rsidR="0091047B" w:rsidRPr="00644839">
        <w:rPr>
          <w:rFonts w:eastAsia="Calibri" w:cs="Calibri"/>
          <w:color w:val="000000"/>
          <w:kern w:val="24"/>
        </w:rPr>
        <w:t xml:space="preserve">; </w:t>
      </w:r>
      <w:r w:rsidR="002A61D4" w:rsidRPr="00644839">
        <w:rPr>
          <w:rFonts w:eastAsia="Calibri" w:cs="Calibri"/>
          <w:color w:val="000000"/>
          <w:kern w:val="24"/>
        </w:rPr>
        <w:t>Sector Development Grants</w:t>
      </w:r>
      <w:r w:rsidR="0091047B" w:rsidRPr="00644839">
        <w:rPr>
          <w:rFonts w:eastAsia="Calibri" w:cs="Calibri"/>
          <w:color w:val="000000"/>
          <w:kern w:val="24"/>
        </w:rPr>
        <w:t xml:space="preserve">; </w:t>
      </w:r>
      <w:r w:rsidR="002A61D4" w:rsidRPr="00644839">
        <w:rPr>
          <w:rFonts w:eastAsia="Calibri" w:cs="Calibri"/>
          <w:color w:val="000000"/>
          <w:kern w:val="24"/>
        </w:rPr>
        <w:t>Local Revenue</w:t>
      </w:r>
      <w:r w:rsidR="0091047B" w:rsidRPr="00644839">
        <w:rPr>
          <w:rFonts w:eastAsia="Calibri" w:cs="Calibri"/>
          <w:color w:val="000000"/>
          <w:kern w:val="24"/>
        </w:rPr>
        <w:t xml:space="preserve">; and </w:t>
      </w:r>
      <w:r w:rsidR="002A61D4" w:rsidRPr="00644839">
        <w:rPr>
          <w:rFonts w:eastAsia="Calibri" w:cs="Calibri"/>
          <w:color w:val="000000"/>
          <w:kern w:val="24"/>
        </w:rPr>
        <w:t>Donor</w:t>
      </w:r>
      <w:r w:rsidR="0091047B" w:rsidRPr="00644839">
        <w:rPr>
          <w:rFonts w:eastAsia="Calibri" w:cs="Calibri"/>
          <w:color w:val="000000"/>
          <w:kern w:val="24"/>
        </w:rPr>
        <w:t xml:space="preserve">/NGO </w:t>
      </w:r>
      <w:r w:rsidR="002A61D4" w:rsidRPr="00644839">
        <w:rPr>
          <w:rFonts w:eastAsia="Calibri" w:cs="Calibri"/>
          <w:color w:val="000000"/>
          <w:kern w:val="24"/>
        </w:rPr>
        <w:t>Funding</w:t>
      </w:r>
      <w:r w:rsidR="0091047B" w:rsidRPr="00644839">
        <w:rPr>
          <w:rFonts w:eastAsia="Calibri" w:cs="Calibri"/>
          <w:color w:val="000000"/>
          <w:kern w:val="24"/>
        </w:rPr>
        <w:t>.</w:t>
      </w:r>
      <w:r w:rsidR="00644839">
        <w:rPr>
          <w:rFonts w:eastAsia="Calibri" w:cs="Calibri"/>
          <w:color w:val="000000"/>
          <w:kern w:val="24"/>
        </w:rPr>
        <w:t xml:space="preserve"> </w:t>
      </w:r>
      <w:r w:rsidR="00252ABB" w:rsidRPr="00644839">
        <w:rPr>
          <w:rFonts w:eastAsia="Calibri" w:cs="Calibri"/>
          <w:color w:val="000000"/>
          <w:kern w:val="24"/>
        </w:rPr>
        <w:t>In preparing and implementing the development budget there are set of standard re</w:t>
      </w:r>
      <w:r w:rsidR="00377745" w:rsidRPr="00644839">
        <w:rPr>
          <w:rFonts w:eastAsia="Calibri" w:cs="Calibri"/>
          <w:color w:val="000000"/>
          <w:kern w:val="24"/>
        </w:rPr>
        <w:t>quirements that must be fulfill</w:t>
      </w:r>
      <w:r w:rsidR="00252ABB" w:rsidRPr="00644839">
        <w:rPr>
          <w:rFonts w:eastAsia="Calibri" w:cs="Calibri"/>
          <w:color w:val="000000"/>
          <w:kern w:val="24"/>
        </w:rPr>
        <w:t>ed</w:t>
      </w:r>
      <w:r w:rsidR="00644839">
        <w:rPr>
          <w:rFonts w:eastAsia="Calibri" w:cs="Calibri"/>
          <w:color w:val="000000"/>
          <w:kern w:val="24"/>
        </w:rPr>
        <w:t xml:space="preserve"> which are summarised in the table below and described thereafter.</w:t>
      </w:r>
    </w:p>
    <w:p w:rsidR="00D0591A" w:rsidRDefault="00D0591A" w:rsidP="00D0591A">
      <w:pPr>
        <w:pStyle w:val="ListParagraph"/>
        <w:spacing w:after="0" w:line="288" w:lineRule="auto"/>
        <w:ind w:left="360"/>
        <w:jc w:val="both"/>
        <w:rPr>
          <w:rFonts w:eastAsia="Calibri" w:cs="Calibri"/>
          <w:color w:val="000000"/>
          <w:kern w:val="24"/>
        </w:rPr>
      </w:pPr>
    </w:p>
    <w:tbl>
      <w:tblPr>
        <w:tblStyle w:val="TableGrid"/>
        <w:tblW w:w="4890" w:type="pct"/>
        <w:tblLayout w:type="fixed"/>
        <w:tblLook w:val="04A0" w:firstRow="1" w:lastRow="0" w:firstColumn="1" w:lastColumn="0" w:noHBand="0" w:noVBand="1"/>
      </w:tblPr>
      <w:tblGrid>
        <w:gridCol w:w="1697"/>
        <w:gridCol w:w="7121"/>
      </w:tblGrid>
      <w:tr w:rsidR="000C2D4B" w:rsidRPr="00DC1957" w:rsidTr="002B0638">
        <w:trPr>
          <w:tblHeader/>
        </w:trPr>
        <w:tc>
          <w:tcPr>
            <w:tcW w:w="962" w:type="pct"/>
            <w:shd w:val="clear" w:color="auto" w:fill="E7E6E6" w:themeFill="background2"/>
          </w:tcPr>
          <w:p w:rsidR="000C2D4B" w:rsidRPr="002B0638" w:rsidRDefault="000C2D4B" w:rsidP="00F731C7">
            <w:pPr>
              <w:tabs>
                <w:tab w:val="left" w:pos="438"/>
              </w:tabs>
            </w:pPr>
          </w:p>
        </w:tc>
        <w:tc>
          <w:tcPr>
            <w:tcW w:w="4038" w:type="pct"/>
            <w:shd w:val="clear" w:color="auto" w:fill="E7E6E6" w:themeFill="background2"/>
          </w:tcPr>
          <w:p w:rsidR="000C2D4B" w:rsidRPr="002B0638" w:rsidRDefault="000C2D4B" w:rsidP="00F731C7">
            <w:pPr>
              <w:tabs>
                <w:tab w:val="left" w:pos="438"/>
              </w:tabs>
            </w:pPr>
            <w:r w:rsidRPr="002B0638">
              <w:t>Summary of Requirements</w:t>
            </w:r>
          </w:p>
        </w:tc>
      </w:tr>
      <w:tr w:rsidR="000C2D4B" w:rsidRPr="00DC1957" w:rsidTr="002B0638">
        <w:tc>
          <w:tcPr>
            <w:tcW w:w="5000" w:type="pct"/>
            <w:gridSpan w:val="2"/>
            <w:shd w:val="clear" w:color="auto" w:fill="auto"/>
          </w:tcPr>
          <w:p w:rsidR="000C2D4B" w:rsidRPr="00DC1957" w:rsidRDefault="00CC4DB2" w:rsidP="00F731C7">
            <w:pPr>
              <w:rPr>
                <w:b/>
              </w:rPr>
            </w:pPr>
            <w:r>
              <w:rPr>
                <w:b/>
              </w:rPr>
              <w:t xml:space="preserve">Requirements on the Use of the DDEG </w:t>
            </w:r>
          </w:p>
        </w:tc>
      </w:tr>
      <w:tr w:rsidR="000C2D4B" w:rsidRPr="00DC1957" w:rsidTr="002B0638">
        <w:tc>
          <w:tcPr>
            <w:tcW w:w="962" w:type="pct"/>
            <w:shd w:val="clear" w:color="auto" w:fill="auto"/>
          </w:tcPr>
          <w:p w:rsidR="000C2D4B" w:rsidRPr="00DC1957" w:rsidRDefault="00CC4DB2" w:rsidP="00F731C7">
            <w:pPr>
              <w:tabs>
                <w:tab w:val="left" w:pos="438"/>
              </w:tabs>
            </w:pPr>
            <w:r>
              <w:t>Allocations across categories</w:t>
            </w:r>
          </w:p>
        </w:tc>
        <w:tc>
          <w:tcPr>
            <w:tcW w:w="4038" w:type="pct"/>
          </w:tcPr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>Capital investments for service delivery – minimum 65%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>Capital investments  for administration –  maximum 15%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  <w:rPr>
                <w:rFonts w:eastAsia="Calibri" w:cs="Calibri"/>
                <w:color w:val="000000"/>
                <w:kern w:val="24"/>
              </w:rPr>
            </w:pPr>
            <w:r w:rsidRPr="00DC1957">
              <w:t>Other development activities/expenditures – minimum 10%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  <w:rPr>
                <w:rFonts w:eastAsia="Calibri" w:cs="Calibri"/>
                <w:color w:val="000000"/>
                <w:kern w:val="24"/>
              </w:rPr>
            </w:pPr>
            <w:r w:rsidRPr="00DC1957">
              <w:rPr>
                <w:rFonts w:eastAsia="Calibri" w:cs="Calibri"/>
                <w:color w:val="000000"/>
                <w:kern w:val="24"/>
              </w:rPr>
              <w:t>Capacity development – maximum 10%</w:t>
            </w:r>
          </w:p>
        </w:tc>
      </w:tr>
      <w:tr w:rsidR="000C2D4B" w:rsidRPr="00DC1957" w:rsidTr="002B0638">
        <w:tc>
          <w:tcPr>
            <w:tcW w:w="962" w:type="pct"/>
            <w:shd w:val="clear" w:color="auto" w:fill="auto"/>
          </w:tcPr>
          <w:p w:rsidR="000C2D4B" w:rsidRPr="00DC1957" w:rsidDel="00AF23BA" w:rsidRDefault="000C2D4B" w:rsidP="00F731C7">
            <w:pPr>
              <w:tabs>
                <w:tab w:val="left" w:pos="438"/>
              </w:tabs>
            </w:pPr>
            <w:r w:rsidRPr="00DC1957">
              <w:t xml:space="preserve">Vertical Allocation </w:t>
            </w:r>
          </w:p>
        </w:tc>
        <w:tc>
          <w:tcPr>
            <w:tcW w:w="4038" w:type="pct"/>
          </w:tcPr>
          <w:p w:rsidR="000C2D4B" w:rsidRPr="000067D3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0067D3">
              <w:t>For the rural areas, the DDEG is allocated using the above formula to Districts and Sub-counties</w:t>
            </w:r>
            <w:r w:rsidR="00CC4DB2" w:rsidRPr="000067D3">
              <w:t xml:space="preserve">. </w:t>
            </w:r>
            <w:r w:rsidR="00080CCC" w:rsidRPr="000067D3">
              <w:t xml:space="preserve"> Sub</w:t>
            </w:r>
            <w:r w:rsidR="000067D3">
              <w:t>-</w:t>
            </w:r>
            <w:r w:rsidR="00080CCC" w:rsidRPr="000067D3">
              <w:t>county allocations will be transferred directly to them</w:t>
            </w:r>
            <w:r w:rsidR="000067D3">
              <w:t xml:space="preserve"> via Straight </w:t>
            </w:r>
            <w:proofErr w:type="gramStart"/>
            <w:r w:rsidR="000067D3">
              <w:t>Through</w:t>
            </w:r>
            <w:proofErr w:type="gramEnd"/>
            <w:r w:rsidR="000067D3">
              <w:t xml:space="preserve"> Processing</w:t>
            </w:r>
            <w:r w:rsidR="00C85CED">
              <w:t xml:space="preserve"> (STP)</w:t>
            </w:r>
            <w:r w:rsidR="000067D3">
              <w:t>.</w:t>
            </w:r>
          </w:p>
          <w:p w:rsidR="000C2D4B" w:rsidRPr="000067D3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0067D3">
              <w:t xml:space="preserve">For the urban </w:t>
            </w:r>
            <w:r w:rsidR="00C85CED">
              <w:t xml:space="preserve">component, </w:t>
            </w:r>
            <w:r w:rsidRPr="00DC1957">
              <w:t xml:space="preserve">the DDEG will be allocated to the </w:t>
            </w:r>
            <w:r w:rsidR="00C85CED" w:rsidRPr="00DC1957">
              <w:t>Municipal Level</w:t>
            </w:r>
            <w:r w:rsidRPr="00DC1957">
              <w:t xml:space="preserve"> and </w:t>
            </w:r>
            <w:r w:rsidR="00C85CED" w:rsidRPr="000067D3">
              <w:t>Town</w:t>
            </w:r>
            <w:r w:rsidRPr="000067D3">
              <w:t xml:space="preserve"> Councils </w:t>
            </w:r>
          </w:p>
          <w:p w:rsidR="00CC4DB2" w:rsidRPr="000067D3" w:rsidRDefault="000067D3" w:rsidP="000067D3">
            <w:pPr>
              <w:pStyle w:val="ListParagraph"/>
              <w:numPr>
                <w:ilvl w:val="0"/>
                <w:numId w:val="2"/>
              </w:numPr>
              <w:rPr>
                <w:rFonts w:eastAsia="Calibri" w:cs="Calibri"/>
                <w:i/>
                <w:color w:val="000000"/>
                <w:kern w:val="24"/>
              </w:rPr>
            </w:pPr>
            <w:r w:rsidRPr="000067D3">
              <w:rPr>
                <w:i/>
              </w:rPr>
              <w:t xml:space="preserve">Note: </w:t>
            </w:r>
            <w:r w:rsidR="00CC4DB2" w:rsidRPr="000067D3">
              <w:rPr>
                <w:i/>
              </w:rPr>
              <w:t xml:space="preserve">A schedule of allocations of the DDEG to </w:t>
            </w:r>
            <w:r w:rsidR="00C85CED" w:rsidRPr="000067D3">
              <w:rPr>
                <w:i/>
              </w:rPr>
              <w:t>Town</w:t>
            </w:r>
            <w:r w:rsidR="00C85CED">
              <w:rPr>
                <w:i/>
              </w:rPr>
              <w:t xml:space="preserve"> Council</w:t>
            </w:r>
            <w:r w:rsidR="00C85CED" w:rsidRPr="000067D3">
              <w:rPr>
                <w:i/>
              </w:rPr>
              <w:t>s</w:t>
            </w:r>
            <w:r w:rsidR="00CC4DB2" w:rsidRPr="000067D3">
              <w:rPr>
                <w:i/>
              </w:rPr>
              <w:t xml:space="preserve"> and </w:t>
            </w:r>
            <w:r w:rsidR="00C85CED" w:rsidRPr="000067D3">
              <w:rPr>
                <w:i/>
              </w:rPr>
              <w:t>Sub</w:t>
            </w:r>
            <w:r w:rsidR="00CC4DB2" w:rsidRPr="000067D3">
              <w:rPr>
                <w:i/>
              </w:rPr>
              <w:t>-</w:t>
            </w:r>
            <w:r w:rsidR="00C85CED" w:rsidRPr="000067D3">
              <w:rPr>
                <w:i/>
              </w:rPr>
              <w:t>Counties</w:t>
            </w:r>
            <w:r w:rsidR="00CC4DB2" w:rsidRPr="000067D3">
              <w:rPr>
                <w:i/>
              </w:rPr>
              <w:t xml:space="preserve"> accompanies the IPFs for </w:t>
            </w:r>
            <w:r w:rsidR="00C85CED" w:rsidRPr="000067D3">
              <w:rPr>
                <w:i/>
              </w:rPr>
              <w:t>Local Governments</w:t>
            </w:r>
            <w:r w:rsidR="00CC4DB2" w:rsidRPr="000067D3">
              <w:rPr>
                <w:i/>
              </w:rPr>
              <w:t>.</w:t>
            </w:r>
          </w:p>
        </w:tc>
      </w:tr>
      <w:tr w:rsidR="00CC4DB2" w:rsidRPr="00DC1957" w:rsidTr="002B0638">
        <w:tc>
          <w:tcPr>
            <w:tcW w:w="5000" w:type="pct"/>
            <w:gridSpan w:val="2"/>
            <w:shd w:val="clear" w:color="auto" w:fill="auto"/>
          </w:tcPr>
          <w:p w:rsidR="00CC4DB2" w:rsidRPr="00DC1957" w:rsidRDefault="00CC4DB2" w:rsidP="00F731C7">
            <w:pPr>
              <w:rPr>
                <w:b/>
              </w:rPr>
            </w:pPr>
            <w:r>
              <w:rPr>
                <w:b/>
              </w:rPr>
              <w:t xml:space="preserve">Overall Development </w:t>
            </w:r>
            <w:r w:rsidRPr="00DC1957">
              <w:rPr>
                <w:b/>
              </w:rPr>
              <w:t>Budget Requirements</w:t>
            </w:r>
          </w:p>
        </w:tc>
      </w:tr>
      <w:tr w:rsidR="000C2D4B" w:rsidRPr="00DC1957" w:rsidTr="002B0638">
        <w:tc>
          <w:tcPr>
            <w:tcW w:w="962" w:type="pct"/>
            <w:shd w:val="clear" w:color="auto" w:fill="auto"/>
          </w:tcPr>
          <w:p w:rsidR="000C2D4B" w:rsidRPr="00DC1957" w:rsidRDefault="000C2D4B" w:rsidP="00F731C7">
            <w:pPr>
              <w:tabs>
                <w:tab w:val="left" w:pos="438"/>
              </w:tabs>
            </w:pPr>
            <w:r w:rsidRPr="00DC1957">
              <w:t>Principles for selecting Investments</w:t>
            </w:r>
          </w:p>
        </w:tc>
        <w:tc>
          <w:tcPr>
            <w:tcW w:w="4038" w:type="pct"/>
          </w:tcPr>
          <w:p w:rsidR="00CC4DB2" w:rsidRDefault="00CC4DB2" w:rsidP="000311A1">
            <w:r>
              <w:t xml:space="preserve">The principles for selecting all </w:t>
            </w:r>
            <w:r w:rsidR="00C85CED">
              <w:t>Local Government Investments</w:t>
            </w:r>
            <w:r>
              <w:t xml:space="preserve"> </w:t>
            </w:r>
            <w:r w:rsidR="009E4055">
              <w:t>(</w:t>
            </w:r>
            <w:r>
              <w:t>whether funded from the DDEG, Sector Development Grants or other sources</w:t>
            </w:r>
            <w:r w:rsidR="009E4055">
              <w:t>) mean that investments should be: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>Within the mandate of LGs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 xml:space="preserve">Incorporated in the LG approved district/urban development plan, </w:t>
            </w:r>
            <w:r w:rsidR="00C85CED" w:rsidRPr="00DC1957">
              <w:t>Work Plan</w:t>
            </w:r>
            <w:r w:rsidRPr="00DC1957">
              <w:t xml:space="preserve"> and </w:t>
            </w:r>
            <w:r w:rsidR="00C85CED" w:rsidRPr="00DC1957">
              <w:t>Budget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>Can be completed with the resources in the budget and made fully functional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 xml:space="preserve">Have provisions for recurrent cost implications 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lastRenderedPageBreak/>
              <w:t>Focus on public rather than private goods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rPr>
                <w:rFonts w:cs="Times New Roman"/>
              </w:rPr>
              <w:t>Do not have negative environmental and social impacts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</w:pPr>
            <w:r w:rsidRPr="00DC1957">
              <w:t xml:space="preserve">Take into consideration </w:t>
            </w:r>
            <w:r w:rsidR="000067D3">
              <w:t>equity issues (e.g. gender, etc</w:t>
            </w:r>
            <w:r w:rsidRPr="00DC1957">
              <w:t>.)</w:t>
            </w:r>
          </w:p>
          <w:p w:rsidR="000C2D4B" w:rsidRPr="00DC1957" w:rsidRDefault="000067D3" w:rsidP="000067D3">
            <w:pPr>
              <w:pStyle w:val="ListParagraph"/>
              <w:numPr>
                <w:ilvl w:val="0"/>
                <w:numId w:val="2"/>
              </w:numPr>
            </w:pPr>
            <w:r>
              <w:t xml:space="preserve">Are in compliance </w:t>
            </w:r>
            <w:r w:rsidR="00CC4DB2">
              <w:t>with</w:t>
            </w:r>
            <w:r w:rsidR="000C2D4B" w:rsidRPr="00DC1957">
              <w:t xml:space="preserve"> Sector Budgeting Requirements and standards for all LG Investments</w:t>
            </w:r>
          </w:p>
        </w:tc>
      </w:tr>
      <w:tr w:rsidR="000C2D4B" w:rsidRPr="00DC1957" w:rsidTr="002B0638">
        <w:tc>
          <w:tcPr>
            <w:tcW w:w="962" w:type="pct"/>
            <w:shd w:val="clear" w:color="auto" w:fill="auto"/>
          </w:tcPr>
          <w:p w:rsidR="000C2D4B" w:rsidRPr="00DC1957" w:rsidRDefault="000C2D4B" w:rsidP="00F731C7">
            <w:pPr>
              <w:tabs>
                <w:tab w:val="left" w:pos="438"/>
              </w:tabs>
            </w:pPr>
            <w:r w:rsidRPr="00DC1957">
              <w:lastRenderedPageBreak/>
              <w:t>Investment servicing costs</w:t>
            </w:r>
          </w:p>
        </w:tc>
        <w:tc>
          <w:tcPr>
            <w:tcW w:w="4038" w:type="pct"/>
          </w:tcPr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C1957">
              <w:t>Investment service costs shall be provided for</w:t>
            </w:r>
            <w:r w:rsidRPr="00DC1957">
              <w:rPr>
                <w:b/>
              </w:rPr>
              <w:t xml:space="preserve"> </w:t>
            </w:r>
            <w:r w:rsidRPr="00DC1957">
              <w:t>all infrastructure outputs (either by sector specific or discretional development equalisation grant)</w:t>
            </w:r>
          </w:p>
          <w:p w:rsidR="000C2D4B" w:rsidRPr="00DC1957" w:rsidRDefault="000C2D4B" w:rsidP="000067D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C1957">
              <w:t>For the DDEG, the investment service costs shall be maximum of 5% of the cost of infrastructure outputs</w:t>
            </w:r>
            <w:r w:rsidR="00CC4DB2">
              <w:t xml:space="preserve"> in each department budget or the amount specified in the sector budget requirements, whichever is lower</w:t>
            </w:r>
            <w:r w:rsidRPr="00DC1957">
              <w:t>. The budget for the infrastructure outputs should provide for investment service costs.</w:t>
            </w:r>
          </w:p>
        </w:tc>
      </w:tr>
      <w:tr w:rsidR="000C2D4B" w:rsidRPr="00DC1957" w:rsidTr="002B0638">
        <w:tc>
          <w:tcPr>
            <w:tcW w:w="962" w:type="pct"/>
            <w:shd w:val="clear" w:color="auto" w:fill="auto"/>
          </w:tcPr>
          <w:p w:rsidR="000C2D4B" w:rsidRPr="00DC1957" w:rsidDel="00AF23BA" w:rsidRDefault="000C2D4B" w:rsidP="00F731C7">
            <w:pPr>
              <w:tabs>
                <w:tab w:val="left" w:pos="438"/>
              </w:tabs>
            </w:pPr>
            <w:r w:rsidRPr="00DC1957">
              <w:t>Capacity Development</w:t>
            </w:r>
          </w:p>
        </w:tc>
        <w:tc>
          <w:tcPr>
            <w:tcW w:w="4038" w:type="pct"/>
          </w:tcPr>
          <w:p w:rsidR="000C2D4B" w:rsidRPr="000311A1" w:rsidRDefault="000C2D4B" w:rsidP="009E405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311A1">
              <w:t>The LG capacity building will be coordinated by LG management</w:t>
            </w:r>
            <w:r w:rsidR="00C05542">
              <w:t>.</w:t>
            </w:r>
          </w:p>
          <w:p w:rsidR="000C2D4B" w:rsidRPr="000311A1" w:rsidRDefault="000C2D4B" w:rsidP="009E4055">
            <w:pPr>
              <w:pStyle w:val="ListParagraph"/>
              <w:numPr>
                <w:ilvl w:val="0"/>
                <w:numId w:val="2"/>
              </w:numPr>
            </w:pPr>
            <w:r w:rsidRPr="000311A1">
              <w:rPr>
                <w:rFonts w:eastAsia="Calibri" w:cs="Calibri"/>
                <w:kern w:val="24"/>
              </w:rPr>
              <w:t>The LG</w:t>
            </w:r>
            <w:r w:rsidR="00CC4DB2" w:rsidRPr="000311A1">
              <w:rPr>
                <w:rFonts w:eastAsia="Calibri" w:cs="Calibri"/>
                <w:kern w:val="24"/>
              </w:rPr>
              <w:t xml:space="preserve">s will spend maximum 10% of its combined sector development budget </w:t>
            </w:r>
            <w:r w:rsidRPr="000311A1">
              <w:rPr>
                <w:rFonts w:eastAsia="Calibri" w:cs="Calibri"/>
                <w:kern w:val="24"/>
              </w:rPr>
              <w:t>allocation</w:t>
            </w:r>
            <w:r w:rsidR="00CC4DB2" w:rsidRPr="000311A1">
              <w:rPr>
                <w:rFonts w:eastAsia="Calibri" w:cs="Calibri"/>
                <w:kern w:val="24"/>
              </w:rPr>
              <w:t>s</w:t>
            </w:r>
            <w:r w:rsidRPr="000311A1">
              <w:rPr>
                <w:rFonts w:eastAsia="Calibri" w:cs="Calibri"/>
                <w:kern w:val="24"/>
              </w:rPr>
              <w:t xml:space="preserve"> for capacity development</w:t>
            </w:r>
            <w:r w:rsidR="00CC4DB2" w:rsidRPr="000311A1">
              <w:rPr>
                <w:rFonts w:eastAsia="Calibri" w:cs="Calibri"/>
                <w:kern w:val="24"/>
              </w:rPr>
              <w:t xml:space="preserve">.  </w:t>
            </w:r>
            <w:r w:rsidR="00CC4DB2" w:rsidRPr="000311A1">
              <w:t>This can come from either the DDEG or sector development grants.  Sectors</w:t>
            </w:r>
            <w:r w:rsidRPr="000311A1">
              <w:t xml:space="preserve"> will be encouraged to allocate part of the</w:t>
            </w:r>
            <w:r w:rsidR="00CC4DB2" w:rsidRPr="000311A1">
              <w:t>ir</w:t>
            </w:r>
            <w:r w:rsidRPr="000311A1">
              <w:t xml:space="preserve"> development grant</w:t>
            </w:r>
            <w:r w:rsidR="00CC4DB2" w:rsidRPr="000311A1">
              <w:t>s</w:t>
            </w:r>
            <w:r w:rsidRPr="000311A1">
              <w:t xml:space="preserve"> for LG Capacity Building. </w:t>
            </w:r>
          </w:p>
          <w:p w:rsidR="000C2D4B" w:rsidRPr="00DC1957" w:rsidRDefault="000C2D4B" w:rsidP="009E4055">
            <w:pPr>
              <w:pStyle w:val="ListParagraph"/>
              <w:numPr>
                <w:ilvl w:val="0"/>
                <w:numId w:val="2"/>
              </w:numPr>
            </w:pPr>
            <w:r w:rsidRPr="000311A1">
              <w:t>The funds for capacity building will be used for: (</w:t>
            </w:r>
            <w:proofErr w:type="spellStart"/>
            <w:r w:rsidRPr="000311A1">
              <w:t>i</w:t>
            </w:r>
            <w:proofErr w:type="spellEnd"/>
            <w:r w:rsidRPr="000311A1">
              <w:t xml:space="preserve">) discretional skills development – minimum 80%; and (ii) career development for technical staff which are a requirement for confirmation or promotion – maximum 20% </w:t>
            </w:r>
          </w:p>
        </w:tc>
      </w:tr>
    </w:tbl>
    <w:p w:rsidR="000C2D4B" w:rsidRDefault="000C2D4B" w:rsidP="00D0591A">
      <w:pPr>
        <w:pStyle w:val="ListParagraph"/>
        <w:spacing w:after="0" w:line="288" w:lineRule="auto"/>
        <w:ind w:left="360"/>
        <w:jc w:val="both"/>
        <w:rPr>
          <w:rFonts w:eastAsia="Calibri" w:cs="Calibri"/>
          <w:color w:val="000000"/>
          <w:kern w:val="24"/>
        </w:rPr>
      </w:pPr>
    </w:p>
    <w:p w:rsidR="000C2D4B" w:rsidRPr="00F76E46" w:rsidRDefault="000C2D4B" w:rsidP="00D0591A">
      <w:pPr>
        <w:pStyle w:val="ListParagraph"/>
        <w:spacing w:after="0" w:line="288" w:lineRule="auto"/>
        <w:ind w:left="360"/>
        <w:jc w:val="both"/>
        <w:rPr>
          <w:rFonts w:eastAsia="Calibri" w:cs="Calibri"/>
          <w:color w:val="000000"/>
          <w:kern w:val="24"/>
        </w:rPr>
      </w:pPr>
    </w:p>
    <w:p w:rsidR="00875EE2" w:rsidRDefault="00875EE2">
      <w:pPr>
        <w:rPr>
          <w:rFonts w:eastAsia="Calibri" w:cs="Calibri"/>
          <w:color w:val="000000"/>
          <w:kern w:val="24"/>
        </w:rPr>
      </w:pPr>
      <w:r>
        <w:rPr>
          <w:rFonts w:eastAsia="Calibri" w:cs="Calibri"/>
          <w:color w:val="000000"/>
          <w:kern w:val="24"/>
        </w:rPr>
        <w:br w:type="page"/>
      </w:r>
    </w:p>
    <w:p w:rsidR="007C0751" w:rsidRDefault="007C0751" w:rsidP="007C0751">
      <w:pPr>
        <w:pStyle w:val="Heading2"/>
      </w:pPr>
      <w:r>
        <w:lastRenderedPageBreak/>
        <w:t>Development Budgeting Requirements</w:t>
      </w:r>
    </w:p>
    <w:p w:rsidR="0099561B" w:rsidRDefault="0099561B" w:rsidP="00BB5E2F"/>
    <w:p w:rsidR="0099561B" w:rsidRDefault="0099561B" w:rsidP="0099561B">
      <w:pPr>
        <w:pStyle w:val="Heading3"/>
      </w:pPr>
      <w:r>
        <w:t>Vertical Allocation of the Grant – share between HLGs and LLGs</w:t>
      </w:r>
    </w:p>
    <w:p w:rsidR="00336A75" w:rsidRDefault="00E00B6A" w:rsidP="00CE2BE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eastAsia="Calibri" w:cs="Calibri"/>
          <w:color w:val="000000"/>
          <w:kern w:val="24"/>
        </w:rPr>
      </w:pPr>
      <w:r w:rsidRPr="005C60B3">
        <w:rPr>
          <w:rFonts w:eastAsia="Calibri" w:cs="Calibri"/>
          <w:color w:val="000000"/>
          <w:kern w:val="24"/>
        </w:rPr>
        <w:t xml:space="preserve">All the sector development grants </w:t>
      </w:r>
      <w:r w:rsidR="009E1950" w:rsidRPr="005C60B3">
        <w:rPr>
          <w:rFonts w:eastAsia="Calibri" w:cs="Calibri"/>
          <w:color w:val="000000"/>
          <w:kern w:val="24"/>
        </w:rPr>
        <w:t xml:space="preserve">(100%) </w:t>
      </w:r>
      <w:r w:rsidRPr="005C60B3">
        <w:rPr>
          <w:rFonts w:eastAsia="Calibri" w:cs="Calibri"/>
          <w:color w:val="000000"/>
          <w:kern w:val="24"/>
        </w:rPr>
        <w:t xml:space="preserve">will be </w:t>
      </w:r>
      <w:r w:rsidR="0099561B" w:rsidRPr="005C60B3">
        <w:rPr>
          <w:rFonts w:eastAsia="Calibri" w:cs="Calibri"/>
          <w:color w:val="000000"/>
          <w:kern w:val="24"/>
        </w:rPr>
        <w:t>allocated to the HLG</w:t>
      </w:r>
      <w:r w:rsidRPr="005C60B3">
        <w:rPr>
          <w:rFonts w:eastAsia="Calibri" w:cs="Calibri"/>
          <w:color w:val="000000"/>
          <w:kern w:val="24"/>
        </w:rPr>
        <w:t xml:space="preserve"> (</w:t>
      </w:r>
      <w:r w:rsidR="00C85CED" w:rsidRPr="005C60B3">
        <w:rPr>
          <w:rFonts w:eastAsia="Calibri" w:cs="Calibri"/>
          <w:color w:val="000000"/>
          <w:kern w:val="24"/>
        </w:rPr>
        <w:t>Districts</w:t>
      </w:r>
      <w:r w:rsidRPr="005C60B3">
        <w:rPr>
          <w:rFonts w:eastAsia="Calibri" w:cs="Calibri"/>
          <w:color w:val="000000"/>
          <w:kern w:val="24"/>
        </w:rPr>
        <w:t xml:space="preserve"> and </w:t>
      </w:r>
      <w:r w:rsidR="00C85CED" w:rsidRPr="005C60B3">
        <w:rPr>
          <w:rFonts w:eastAsia="Calibri" w:cs="Calibri"/>
          <w:color w:val="000000"/>
          <w:kern w:val="24"/>
        </w:rPr>
        <w:t>Municipalities</w:t>
      </w:r>
      <w:r w:rsidRPr="005C60B3">
        <w:rPr>
          <w:rFonts w:eastAsia="Calibri" w:cs="Calibri"/>
          <w:color w:val="000000"/>
          <w:kern w:val="24"/>
        </w:rPr>
        <w:t>)</w:t>
      </w:r>
      <w:r w:rsidR="00D943CE" w:rsidRPr="005C60B3">
        <w:rPr>
          <w:rFonts w:eastAsia="Calibri" w:cs="Calibri"/>
          <w:color w:val="000000"/>
          <w:kern w:val="24"/>
        </w:rPr>
        <w:t xml:space="preserve">. </w:t>
      </w:r>
    </w:p>
    <w:p w:rsidR="00336A75" w:rsidRDefault="00336A75" w:rsidP="00CE2BE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eastAsia="Calibri" w:cs="Calibri"/>
          <w:color w:val="000000"/>
          <w:kern w:val="24"/>
        </w:rPr>
      </w:pPr>
      <w:r>
        <w:rPr>
          <w:rFonts w:eastAsia="Calibri" w:cs="Calibri"/>
          <w:color w:val="000000"/>
          <w:kern w:val="24"/>
        </w:rPr>
        <w:t xml:space="preserve">For </w:t>
      </w:r>
      <w:r w:rsidR="000C2D4B">
        <w:rPr>
          <w:rFonts w:eastAsia="Calibri" w:cs="Calibri"/>
          <w:color w:val="000000"/>
          <w:kern w:val="24"/>
        </w:rPr>
        <w:t xml:space="preserve">rural areas </w:t>
      </w:r>
      <w:r>
        <w:rPr>
          <w:rFonts w:eastAsia="Calibri" w:cs="Calibri"/>
          <w:color w:val="000000"/>
          <w:kern w:val="24"/>
        </w:rPr>
        <w:t>t</w:t>
      </w:r>
      <w:r w:rsidR="00E00B6A" w:rsidRPr="005C60B3">
        <w:rPr>
          <w:rFonts w:eastAsia="Calibri" w:cs="Calibri"/>
          <w:color w:val="000000"/>
          <w:kern w:val="24"/>
        </w:rPr>
        <w:t xml:space="preserve">he discretionary development equalisation grants will be </w:t>
      </w:r>
      <w:r w:rsidR="000C2D4B">
        <w:rPr>
          <w:rFonts w:eastAsia="Calibri" w:cs="Calibri"/>
          <w:color w:val="000000"/>
          <w:kern w:val="24"/>
        </w:rPr>
        <w:t xml:space="preserve">allocated to both the districts and sub-counties using the allocation formula described above. </w:t>
      </w:r>
    </w:p>
    <w:p w:rsidR="00336A75" w:rsidRPr="005C60B3" w:rsidRDefault="00E00B6A" w:rsidP="00CE2BE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eastAsia="Calibri" w:cs="Calibri"/>
          <w:color w:val="000000"/>
          <w:kern w:val="24"/>
        </w:rPr>
      </w:pPr>
      <w:r w:rsidRPr="005C60B3">
        <w:rPr>
          <w:rFonts w:eastAsia="Calibri" w:cs="Calibri"/>
          <w:color w:val="000000"/>
          <w:kern w:val="24"/>
        </w:rPr>
        <w:t>For the municipalities</w:t>
      </w:r>
      <w:r w:rsidR="00D943CE" w:rsidRPr="005C60B3">
        <w:rPr>
          <w:rFonts w:eastAsia="Calibri" w:cs="Calibri"/>
          <w:color w:val="000000"/>
          <w:kern w:val="24"/>
        </w:rPr>
        <w:t>,</w:t>
      </w:r>
      <w:r w:rsidRPr="005C60B3">
        <w:rPr>
          <w:rFonts w:eastAsia="Calibri" w:cs="Calibri"/>
          <w:color w:val="000000"/>
          <w:kern w:val="24"/>
        </w:rPr>
        <w:t xml:space="preserve"> </w:t>
      </w:r>
      <w:r w:rsidR="00336A75">
        <w:rPr>
          <w:rFonts w:eastAsia="Calibri" w:cs="Calibri"/>
          <w:color w:val="000000"/>
          <w:kern w:val="24"/>
        </w:rPr>
        <w:t xml:space="preserve">like under </w:t>
      </w:r>
      <w:r w:rsidR="00336A75" w:rsidRPr="005C60B3">
        <w:t>USMID</w:t>
      </w:r>
      <w:r w:rsidR="00C85CED">
        <w:t>,</w:t>
      </w:r>
      <w:r w:rsidR="00336A75">
        <w:t xml:space="preserve"> </w:t>
      </w:r>
      <w:r w:rsidR="00336A75" w:rsidRPr="005C60B3">
        <w:t xml:space="preserve">100% of the </w:t>
      </w:r>
      <w:r w:rsidR="00336A75">
        <w:t xml:space="preserve">DDEG </w:t>
      </w:r>
      <w:r w:rsidR="00336A75" w:rsidRPr="005C60B3">
        <w:t>will be allocated to the municipal level, and funds will not be fragmented across the divisions</w:t>
      </w:r>
      <w:r w:rsidR="00336A75">
        <w:t>.</w:t>
      </w:r>
      <w:r w:rsidR="00336A75" w:rsidRPr="005C60B3">
        <w:t xml:space="preserve"> </w:t>
      </w:r>
      <w:r w:rsidR="00336A75">
        <w:t xml:space="preserve">This is because of </w:t>
      </w:r>
      <w:r w:rsidR="00336A75" w:rsidRPr="00884F6B">
        <w:t xml:space="preserve">the nature and size of the expected investments; the need to have impact from the investments, capacity constraints at divisions; and a need to have manageable supervision </w:t>
      </w:r>
      <w:proofErr w:type="spellStart"/>
      <w:r w:rsidR="00336A75" w:rsidRPr="00884F6B">
        <w:t>centers</w:t>
      </w:r>
      <w:proofErr w:type="spellEnd"/>
      <w:r w:rsidR="00336A75">
        <w:t xml:space="preserve">. </w:t>
      </w:r>
      <w:r w:rsidR="00336A75" w:rsidRPr="005C60B3">
        <w:t xml:space="preserve">However, the divisions will be actively involved in all the planning, budgeting and project implementation processes. </w:t>
      </w:r>
    </w:p>
    <w:p w:rsidR="004306F2" w:rsidRPr="005C60B3" w:rsidRDefault="004306F2" w:rsidP="00CE2BE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eastAsia="Calibri" w:cs="Calibri"/>
          <w:color w:val="000000"/>
          <w:kern w:val="24"/>
        </w:rPr>
      </w:pPr>
      <w:r>
        <w:rPr>
          <w:rFonts w:eastAsia="Calibri" w:cs="Calibri"/>
          <w:color w:val="000000"/>
          <w:kern w:val="24"/>
        </w:rPr>
        <w:t xml:space="preserve">Funds will be allocated to Town Councils </w:t>
      </w:r>
      <w:r w:rsidRPr="00995D3D">
        <w:rPr>
          <w:rFonts w:eastAsia="Calibri" w:cs="Calibri"/>
          <w:color w:val="000000"/>
          <w:kern w:val="24"/>
        </w:rPr>
        <w:t>follow</w:t>
      </w:r>
      <w:r>
        <w:rPr>
          <w:rFonts w:eastAsia="Calibri" w:cs="Calibri"/>
          <w:color w:val="000000"/>
          <w:kern w:val="24"/>
        </w:rPr>
        <w:t xml:space="preserve">ing the </w:t>
      </w:r>
      <w:r w:rsidR="000C2D4B">
        <w:rPr>
          <w:rFonts w:eastAsia="Calibri" w:cs="Calibri"/>
          <w:color w:val="000000"/>
          <w:kern w:val="24"/>
        </w:rPr>
        <w:t>allocation formula</w:t>
      </w:r>
      <w:r>
        <w:rPr>
          <w:rFonts w:eastAsia="Calibri" w:cs="Calibri"/>
          <w:color w:val="000000"/>
          <w:kern w:val="24"/>
        </w:rPr>
        <w:t>.</w:t>
      </w:r>
    </w:p>
    <w:p w:rsidR="00336A75" w:rsidRPr="005C60B3" w:rsidRDefault="00336A75" w:rsidP="00336A75">
      <w:pPr>
        <w:spacing w:after="0" w:line="288" w:lineRule="auto"/>
        <w:jc w:val="both"/>
        <w:rPr>
          <w:rFonts w:eastAsia="Calibri" w:cs="Calibri"/>
          <w:color w:val="000000"/>
          <w:kern w:val="24"/>
        </w:rPr>
      </w:pPr>
    </w:p>
    <w:p w:rsidR="00702D04" w:rsidRDefault="00702D04" w:rsidP="00BB5E2F">
      <w:pPr>
        <w:pStyle w:val="Heading3"/>
      </w:pPr>
      <w:r>
        <w:t>Principles for selecting investments</w:t>
      </w:r>
    </w:p>
    <w:p w:rsidR="0073662D" w:rsidRDefault="0073662D" w:rsidP="00CE2BE7">
      <w:pPr>
        <w:pStyle w:val="ListParagraph"/>
        <w:numPr>
          <w:ilvl w:val="0"/>
          <w:numId w:val="2"/>
        </w:numPr>
      </w:pPr>
      <w:r>
        <w:t xml:space="preserve">Investment must be within the mandate of </w:t>
      </w:r>
      <w:r>
        <w:t>L</w:t>
      </w:r>
      <w:r w:rsidR="00C85CED">
        <w:t xml:space="preserve">ocal </w:t>
      </w:r>
      <w:r>
        <w:t>G</w:t>
      </w:r>
      <w:r w:rsidR="00C85CED">
        <w:t>overnment</w:t>
      </w:r>
      <w:r>
        <w:t>s</w:t>
      </w:r>
    </w:p>
    <w:p w:rsidR="0073662D" w:rsidRDefault="0073662D" w:rsidP="00CE2BE7">
      <w:pPr>
        <w:pStyle w:val="ListParagraph"/>
        <w:numPr>
          <w:ilvl w:val="0"/>
          <w:numId w:val="2"/>
        </w:numPr>
      </w:pPr>
      <w:r>
        <w:t xml:space="preserve">Investments must be incorporated in the </w:t>
      </w:r>
      <w:r w:rsidR="00383D5F">
        <w:t xml:space="preserve">respective </w:t>
      </w:r>
      <w:r>
        <w:t>L</w:t>
      </w:r>
      <w:r w:rsidR="00C85CED">
        <w:t xml:space="preserve">ocal </w:t>
      </w:r>
      <w:r>
        <w:t>G</w:t>
      </w:r>
      <w:r w:rsidR="00C85CED">
        <w:t>overnment</w:t>
      </w:r>
      <w:r>
        <w:t xml:space="preserve"> approved plan</w:t>
      </w:r>
      <w:r w:rsidR="00A757E7">
        <w:t>, work plan</w:t>
      </w:r>
      <w:r>
        <w:t xml:space="preserve"> and budget</w:t>
      </w:r>
    </w:p>
    <w:p w:rsidR="000728DB" w:rsidRDefault="009E1950" w:rsidP="00CE2BE7">
      <w:pPr>
        <w:pStyle w:val="ListParagraph"/>
        <w:numPr>
          <w:ilvl w:val="0"/>
          <w:numId w:val="2"/>
        </w:numPr>
      </w:pPr>
      <w:r>
        <w:t xml:space="preserve">Investments should be in line </w:t>
      </w:r>
      <w:r w:rsidR="000728DB">
        <w:t>with the Physical Plan</w:t>
      </w:r>
    </w:p>
    <w:p w:rsidR="00BD7181" w:rsidRDefault="003F3CD0" w:rsidP="00CE2BE7">
      <w:pPr>
        <w:pStyle w:val="ListParagraph"/>
        <w:numPr>
          <w:ilvl w:val="0"/>
          <w:numId w:val="2"/>
        </w:numPr>
      </w:pPr>
      <w:r>
        <w:t>It must be ensured that investments are fully functional: priority given to: (</w:t>
      </w:r>
      <w:proofErr w:type="spellStart"/>
      <w:r>
        <w:t>i</w:t>
      </w:r>
      <w:proofErr w:type="spellEnd"/>
      <w:r>
        <w:t>) r</w:t>
      </w:r>
      <w:r w:rsidR="00BD7181" w:rsidRPr="00BD7181">
        <w:t>e</w:t>
      </w:r>
      <w:r w:rsidR="00BD7181">
        <w:t xml:space="preserve">pair/maintenance of existing </w:t>
      </w:r>
      <w:r w:rsidR="004848A8">
        <w:t>investments</w:t>
      </w:r>
      <w:r w:rsidR="00BD7181">
        <w:t>;</w:t>
      </w:r>
      <w:r>
        <w:t xml:space="preserve"> (ii) </w:t>
      </w:r>
      <w:r w:rsidR="005963B3">
        <w:t>completion/</w:t>
      </w:r>
      <w:r>
        <w:t>e</w:t>
      </w:r>
      <w:r w:rsidR="00BD7181">
        <w:t xml:space="preserve">xtension/construction of new </w:t>
      </w:r>
      <w:r w:rsidR="004848A8">
        <w:t xml:space="preserve">investments </w:t>
      </w:r>
      <w:r w:rsidR="00BD7181">
        <w:t>on existing facilities</w:t>
      </w:r>
      <w:r>
        <w:t>; before (iii) c</w:t>
      </w:r>
      <w:r w:rsidR="00BD7181">
        <w:t>onstruction of new faciliti</w:t>
      </w:r>
      <w:r w:rsidR="004848A8">
        <w:t>es</w:t>
      </w:r>
      <w:r w:rsidR="00BD7181">
        <w:t xml:space="preserve"> </w:t>
      </w:r>
      <w:r>
        <w:t xml:space="preserve">which should be done </w:t>
      </w:r>
      <w:r w:rsidR="00BD7181">
        <w:t>only when there are provisions for meeting recurrent cost implications.</w:t>
      </w:r>
    </w:p>
    <w:p w:rsidR="0013218C" w:rsidRDefault="0013218C" w:rsidP="00CE2BE7">
      <w:pPr>
        <w:pStyle w:val="ListParagraph"/>
        <w:numPr>
          <w:ilvl w:val="0"/>
          <w:numId w:val="2"/>
        </w:numPr>
      </w:pPr>
      <w:r>
        <w:t xml:space="preserve">LG should </w:t>
      </w:r>
      <w:r w:rsidR="005963B3">
        <w:t xml:space="preserve">allocate </w:t>
      </w:r>
      <w:r>
        <w:t>the</w:t>
      </w:r>
      <w:r w:rsidR="005963B3">
        <w:t xml:space="preserve"> full</w:t>
      </w:r>
      <w:r>
        <w:t xml:space="preserve"> resources to complete the investment</w:t>
      </w:r>
      <w:r w:rsidR="005963B3">
        <w:t xml:space="preserve"> in the budget.</w:t>
      </w:r>
    </w:p>
    <w:p w:rsidR="0073662D" w:rsidRDefault="006625F9" w:rsidP="00CE2BE7">
      <w:pPr>
        <w:pStyle w:val="ListParagraph"/>
        <w:numPr>
          <w:ilvl w:val="0"/>
          <w:numId w:val="2"/>
        </w:numPr>
      </w:pPr>
      <w:r>
        <w:t xml:space="preserve">Recurrent cost implications linked to the operation of the facilities should be </w:t>
      </w:r>
      <w:r w:rsidR="00896E8B">
        <w:t>met</w:t>
      </w:r>
      <w:r>
        <w:t xml:space="preserve"> from </w:t>
      </w:r>
      <w:r w:rsidR="005963B3">
        <w:t xml:space="preserve">sector </w:t>
      </w:r>
      <w:r w:rsidR="005963B3" w:rsidRPr="00CA39A8">
        <w:t>budgets</w:t>
      </w:r>
      <w:r w:rsidR="00896E8B">
        <w:t xml:space="preserve"> financed by conditional grants and other LG resources</w:t>
      </w:r>
      <w:r>
        <w:t>.</w:t>
      </w:r>
      <w:r w:rsidR="0073662D">
        <w:t xml:space="preserve"> </w:t>
      </w:r>
      <w:r w:rsidR="0073662D" w:rsidRPr="003D0FD5">
        <w:t>Investments that lead to significant recurrent cost implications</w:t>
      </w:r>
      <w:r w:rsidR="0073662D">
        <w:t xml:space="preserve"> that cannot be met should not be financed</w:t>
      </w:r>
      <w:r w:rsidR="005963B3">
        <w:t xml:space="preserve">.  </w:t>
      </w:r>
    </w:p>
    <w:p w:rsidR="005963B3" w:rsidRPr="003D0FD5" w:rsidRDefault="005963B3" w:rsidP="00CE2BE7">
      <w:pPr>
        <w:pStyle w:val="ListParagraph"/>
        <w:numPr>
          <w:ilvl w:val="0"/>
          <w:numId w:val="2"/>
        </w:numPr>
      </w:pPr>
      <w:r>
        <w:t>Adherence to positive/negative list for investments.</w:t>
      </w:r>
    </w:p>
    <w:p w:rsidR="006625F9" w:rsidRDefault="006625F9" w:rsidP="00CE2BE7">
      <w:pPr>
        <w:pStyle w:val="ListParagraph"/>
        <w:numPr>
          <w:ilvl w:val="0"/>
          <w:numId w:val="2"/>
        </w:numPr>
      </w:pPr>
      <w:r>
        <w:t>Focus on public rather than private goods</w:t>
      </w:r>
      <w:r w:rsidR="00653E91">
        <w:t xml:space="preserve"> (under USMID public goods are defined as those that benefit more than 100 people)</w:t>
      </w:r>
    </w:p>
    <w:p w:rsidR="0073662D" w:rsidRPr="003D0FD5" w:rsidRDefault="0073662D" w:rsidP="00CE2BE7">
      <w:pPr>
        <w:pStyle w:val="ListParagraph"/>
        <w:numPr>
          <w:ilvl w:val="0"/>
          <w:numId w:val="2"/>
        </w:numPr>
      </w:pPr>
      <w:r w:rsidRPr="003D0FD5">
        <w:rPr>
          <w:rFonts w:cs="Times New Roman"/>
        </w:rPr>
        <w:t xml:space="preserve">Investments </w:t>
      </w:r>
      <w:r>
        <w:rPr>
          <w:rFonts w:cs="Times New Roman"/>
        </w:rPr>
        <w:t xml:space="preserve">should not have </w:t>
      </w:r>
      <w:r w:rsidRPr="003D0FD5">
        <w:rPr>
          <w:rFonts w:cs="Times New Roman"/>
        </w:rPr>
        <w:t xml:space="preserve">negative </w:t>
      </w:r>
      <w:r w:rsidR="00DD6B03">
        <w:rPr>
          <w:rFonts w:cs="Times New Roman"/>
        </w:rPr>
        <w:t xml:space="preserve">social and </w:t>
      </w:r>
      <w:r w:rsidRPr="003D0FD5">
        <w:rPr>
          <w:rFonts w:cs="Times New Roman"/>
        </w:rPr>
        <w:t>environmental impact</w:t>
      </w:r>
      <w:r>
        <w:rPr>
          <w:rFonts w:cs="Times New Roman"/>
        </w:rPr>
        <w:t>s</w:t>
      </w:r>
    </w:p>
    <w:p w:rsidR="00701F60" w:rsidRDefault="00701F60" w:rsidP="00CE2BE7">
      <w:pPr>
        <w:pStyle w:val="ListParagraph"/>
        <w:numPr>
          <w:ilvl w:val="0"/>
          <w:numId w:val="2"/>
        </w:numPr>
      </w:pPr>
    </w:p>
    <w:p w:rsidR="00A757E7" w:rsidRDefault="00A757E7" w:rsidP="00CE2BE7">
      <w:pPr>
        <w:pStyle w:val="ListParagraph"/>
        <w:numPr>
          <w:ilvl w:val="0"/>
          <w:numId w:val="2"/>
        </w:numPr>
      </w:pPr>
      <w:r>
        <w:t>Take into consideration equity issues (e.g. gender, etc</w:t>
      </w:r>
      <w:proofErr w:type="gramStart"/>
      <w:r>
        <w:t>..)</w:t>
      </w:r>
      <w:proofErr w:type="gramEnd"/>
    </w:p>
    <w:p w:rsidR="00CA39A8" w:rsidRDefault="00CA39A8" w:rsidP="00CE2BE7">
      <w:pPr>
        <w:pStyle w:val="ListParagraph"/>
        <w:numPr>
          <w:ilvl w:val="0"/>
          <w:numId w:val="2"/>
        </w:numPr>
      </w:pPr>
      <w:r>
        <w:t>Investments must meet the sector budget requirements set out in the respective information papers and associated guidelines.</w:t>
      </w:r>
    </w:p>
    <w:p w:rsidR="0099561B" w:rsidRPr="0099561B" w:rsidRDefault="0099561B" w:rsidP="00BB5E2F">
      <w:pPr>
        <w:pStyle w:val="Heading3"/>
      </w:pPr>
      <w:r w:rsidRPr="0099561B">
        <w:t>Budgeting for Investment Servicing Costs</w:t>
      </w:r>
    </w:p>
    <w:p w:rsidR="00081F5D" w:rsidRPr="004848A8" w:rsidRDefault="00C22B27" w:rsidP="00CA39A8">
      <w:pPr>
        <w:jc w:val="both"/>
      </w:pPr>
      <w:r>
        <w:t xml:space="preserve">These are the costs that support the construction of investments including: </w:t>
      </w:r>
      <w:r w:rsidRPr="005C765C">
        <w:t>project design and specifications, cost estimation</w:t>
      </w:r>
      <w:r>
        <w:t xml:space="preserve"> and </w:t>
      </w:r>
      <w:r w:rsidRPr="005C765C">
        <w:t>preparation of Bills of Quantities;</w:t>
      </w:r>
      <w:r>
        <w:t xml:space="preserve"> environmental and social impact assessments, </w:t>
      </w:r>
      <w:r w:rsidRPr="005C765C">
        <w:t>development of operation and maintenance plan</w:t>
      </w:r>
      <w:r>
        <w:t>s</w:t>
      </w:r>
      <w:r w:rsidRPr="005C765C">
        <w:t xml:space="preserve">, engineering/ construction </w:t>
      </w:r>
      <w:r>
        <w:t>supervision etc.</w:t>
      </w:r>
      <w:r w:rsidR="00CA39A8">
        <w:t xml:space="preserve"> </w:t>
      </w:r>
      <w:r>
        <w:t>Activities under investment service costs are often contracted out.</w:t>
      </w:r>
      <w:r w:rsidR="00CA39A8">
        <w:t xml:space="preserve"> </w:t>
      </w:r>
      <w:r w:rsidR="004848A8">
        <w:t xml:space="preserve">For </w:t>
      </w:r>
      <w:r w:rsidR="00CA39A8">
        <w:t>the DDEG, i</w:t>
      </w:r>
      <w:r w:rsidR="00EF1E8E">
        <w:t xml:space="preserve">nvestment service costs shall be </w:t>
      </w:r>
      <w:r w:rsidR="004848A8">
        <w:t xml:space="preserve">maximum </w:t>
      </w:r>
      <w:r w:rsidR="00A757E7">
        <w:t>5</w:t>
      </w:r>
      <w:r w:rsidR="00EF1E8E">
        <w:t xml:space="preserve">% </w:t>
      </w:r>
      <w:r w:rsidR="004848A8">
        <w:t>budgeted for</w:t>
      </w:r>
      <w:r w:rsidR="004848A8" w:rsidRPr="00AD5B87">
        <w:t xml:space="preserve"> against each capital outputs </w:t>
      </w:r>
      <w:r w:rsidR="00CA39A8">
        <w:t>as items (EIA, design, m</w:t>
      </w:r>
      <w:r w:rsidR="00264BF3" w:rsidRPr="00AD5B87">
        <w:t>onitoring of capital works)</w:t>
      </w:r>
      <w:r w:rsidR="00896E8B">
        <w:t>.</w:t>
      </w:r>
      <w:r w:rsidR="00264BF3" w:rsidRPr="00AD5B87">
        <w:t xml:space="preserve"> </w:t>
      </w:r>
    </w:p>
    <w:p w:rsidR="0008239E" w:rsidRPr="003D0FD5" w:rsidRDefault="00EF1E8E" w:rsidP="00BB5E2F">
      <w:pPr>
        <w:pStyle w:val="Heading3"/>
      </w:pPr>
      <w:r>
        <w:lastRenderedPageBreak/>
        <w:t xml:space="preserve">Budgeting for </w:t>
      </w:r>
      <w:r w:rsidR="00EC1E5B">
        <w:t xml:space="preserve">capacity building </w:t>
      </w:r>
      <w:r w:rsidR="005963B3">
        <w:t>activities</w:t>
      </w:r>
    </w:p>
    <w:p w:rsidR="000457B2" w:rsidRDefault="00896E8B" w:rsidP="00B26D8F">
      <w:pPr>
        <w:jc w:val="both"/>
      </w:pPr>
      <w:r>
        <w:t xml:space="preserve">The LGs will spend maximum </w:t>
      </w:r>
      <w:r w:rsidR="00EE1C5E">
        <w:t xml:space="preserve">10% of the DDEG </w:t>
      </w:r>
      <w:r>
        <w:t xml:space="preserve">allocation </w:t>
      </w:r>
      <w:r w:rsidR="00EE1C5E">
        <w:t xml:space="preserve">to capacity building. </w:t>
      </w:r>
      <w:r w:rsidR="00B26D8F">
        <w:t xml:space="preserve"> </w:t>
      </w:r>
      <w:r w:rsidR="006745F4">
        <w:t>The purpose is to e</w:t>
      </w:r>
      <w:r w:rsidR="006745F4" w:rsidRPr="00701E87">
        <w:t>nhance the capacity o</w:t>
      </w:r>
      <w:r w:rsidR="006745F4">
        <w:t>f LGs to fulfil</w:t>
      </w:r>
      <w:r w:rsidR="006745F4" w:rsidRPr="00701E87">
        <w:t xml:space="preserve"> their mandates</w:t>
      </w:r>
      <w:r w:rsidR="00B26D8F">
        <w:t xml:space="preserve">. </w:t>
      </w:r>
      <w:r w:rsidR="00EF1E8E">
        <w:t xml:space="preserve">Whereas the </w:t>
      </w:r>
      <w:r w:rsidR="00EE1C5E">
        <w:t xml:space="preserve">component of the DDEG available for </w:t>
      </w:r>
      <w:r w:rsidR="00B26D8F">
        <w:t xml:space="preserve">capacity building </w:t>
      </w:r>
      <w:r w:rsidR="004E0963">
        <w:t>will be coordinated by LG management</w:t>
      </w:r>
      <w:r w:rsidR="00EF1E8E">
        <w:t>, it is supposed to be used to</w:t>
      </w:r>
      <w:r w:rsidR="006745F4">
        <w:t xml:space="preserve"> address the needs of both HLG and LLGs as reflected in </w:t>
      </w:r>
      <w:r w:rsidR="00701E87">
        <w:t xml:space="preserve">the </w:t>
      </w:r>
      <w:r w:rsidR="006745F4">
        <w:t xml:space="preserve">comprehensive </w:t>
      </w:r>
      <w:r w:rsidR="00701E87">
        <w:t>capacity building plan approved by the LG Council</w:t>
      </w:r>
      <w:r w:rsidR="00B26D8F">
        <w:t xml:space="preserve">. </w:t>
      </w:r>
      <w:r w:rsidR="006745F4">
        <w:t xml:space="preserve">The capacity building </w:t>
      </w:r>
      <w:r w:rsidR="00EE1C5E">
        <w:t xml:space="preserve">component may </w:t>
      </w:r>
      <w:r w:rsidR="004848A8">
        <w:t>cover</w:t>
      </w:r>
      <w:r w:rsidR="00701E87">
        <w:t>:</w:t>
      </w:r>
      <w:r w:rsidR="00160957">
        <w:t xml:space="preserve"> </w:t>
      </w:r>
    </w:p>
    <w:p w:rsidR="000457B2" w:rsidRPr="000457B2" w:rsidRDefault="00B26D8F" w:rsidP="00CE2BE7">
      <w:pPr>
        <w:pStyle w:val="ListParagraph"/>
        <w:numPr>
          <w:ilvl w:val="0"/>
          <w:numId w:val="2"/>
        </w:numPr>
        <w:jc w:val="both"/>
      </w:pPr>
      <w:r>
        <w:rPr>
          <w:lang w:val="en-US"/>
        </w:rPr>
        <w:t>D</w:t>
      </w:r>
      <w:r w:rsidR="008964A2" w:rsidRPr="000457B2">
        <w:rPr>
          <w:lang w:val="en-US"/>
        </w:rPr>
        <w:t>iscretionary capacity building activities</w:t>
      </w:r>
      <w:r w:rsidR="00A65562">
        <w:rPr>
          <w:lang w:val="en-US"/>
        </w:rPr>
        <w:t xml:space="preserve">: </w:t>
      </w:r>
      <w:r w:rsidR="008964A2" w:rsidRPr="000457B2">
        <w:rPr>
          <w:lang w:val="en-US"/>
        </w:rPr>
        <w:t>sh</w:t>
      </w:r>
      <w:r w:rsidR="000457B2">
        <w:rPr>
          <w:lang w:val="en-US"/>
        </w:rPr>
        <w:t xml:space="preserve">ort-term skills development </w:t>
      </w:r>
      <w:r w:rsidR="00A65562">
        <w:rPr>
          <w:lang w:val="en-US"/>
        </w:rPr>
        <w:t xml:space="preserve">courses; on the job training; exposure visits etc. </w:t>
      </w:r>
      <w:r w:rsidR="00A755B4">
        <w:rPr>
          <w:lang w:val="en-US"/>
        </w:rPr>
        <w:t xml:space="preserve"> </w:t>
      </w:r>
      <w:r w:rsidR="000457B2">
        <w:rPr>
          <w:lang w:val="en-US"/>
        </w:rPr>
        <w:t>-</w:t>
      </w:r>
      <w:r w:rsidR="00701F60">
        <w:rPr>
          <w:lang w:val="en-US"/>
        </w:rPr>
        <w:t xml:space="preserve"> </w:t>
      </w:r>
      <w:r w:rsidR="008964A2" w:rsidRPr="000457B2">
        <w:rPr>
          <w:lang w:val="en-US"/>
        </w:rPr>
        <w:t xml:space="preserve">minimum </w:t>
      </w:r>
      <w:r w:rsidR="000457B2">
        <w:rPr>
          <w:lang w:val="en-US"/>
        </w:rPr>
        <w:t>80%</w:t>
      </w:r>
      <w:r w:rsidR="00A757E7" w:rsidRPr="000457B2">
        <w:rPr>
          <w:lang w:val="en-US"/>
        </w:rPr>
        <w:t xml:space="preserve">; </w:t>
      </w:r>
    </w:p>
    <w:p w:rsidR="00A97C32" w:rsidRDefault="00B26D8F" w:rsidP="00CE2BE7">
      <w:pPr>
        <w:pStyle w:val="ListParagraph"/>
        <w:numPr>
          <w:ilvl w:val="0"/>
          <w:numId w:val="2"/>
        </w:numPr>
        <w:jc w:val="both"/>
      </w:pPr>
      <w:r>
        <w:t>C</w:t>
      </w:r>
      <w:r w:rsidR="008964A2" w:rsidRPr="00A757E7">
        <w:t>areer development for technical staff for areas that are a requirement for confirmation or promotion</w:t>
      </w:r>
      <w:r w:rsidR="00A65562">
        <w:t xml:space="preserve"> (e.g. certificate in Administrative Law for A</w:t>
      </w:r>
      <w:r w:rsidR="00A755B4">
        <w:t>dministrators; Post Graduate Di</w:t>
      </w:r>
      <w:r w:rsidR="00A65562">
        <w:t>ploma in HRM for HRM Officers etc..)</w:t>
      </w:r>
      <w:r w:rsidR="008964A2" w:rsidRPr="00A757E7">
        <w:t xml:space="preserve"> – maximum 20%</w:t>
      </w:r>
    </w:p>
    <w:p w:rsidR="00875EE2" w:rsidRDefault="00875EE2" w:rsidP="00DC729C">
      <w:pPr>
        <w:jc w:val="both"/>
      </w:pPr>
    </w:p>
    <w:p w:rsidR="007C0751" w:rsidRDefault="00080CCC" w:rsidP="007C0751">
      <w:pPr>
        <w:pStyle w:val="Heading2"/>
      </w:pPr>
      <w:r>
        <w:t>Sector Development Budget Requirements to Be Applied to the DDEG</w:t>
      </w:r>
      <w:r w:rsidR="005D02AF">
        <w:rPr>
          <w:rStyle w:val="FootnoteReference"/>
        </w:rPr>
        <w:footnoteReference w:id="4"/>
      </w:r>
      <w:r w:rsidR="008D09F3">
        <w:t xml:space="preserve"> </w:t>
      </w:r>
    </w:p>
    <w:p w:rsidR="00080CCC" w:rsidRDefault="00C90AB4" w:rsidP="000457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tables below provides a summary of the </w:t>
      </w:r>
      <w:r w:rsidRPr="000311A1">
        <w:rPr>
          <w:rFonts w:ascii="Calibri" w:hAnsi="Calibri" w:cs="Calibri"/>
          <w:b/>
        </w:rPr>
        <w:t>sector development budget requirements</w:t>
      </w:r>
      <w:r>
        <w:rPr>
          <w:rFonts w:ascii="Calibri" w:hAnsi="Calibri" w:cs="Calibri"/>
        </w:rPr>
        <w:t xml:space="preserve"> which must be adhered to when allocating DDEG funding </w:t>
      </w:r>
      <w:r w:rsidR="004149A8">
        <w:rPr>
          <w:rFonts w:ascii="Calibri" w:hAnsi="Calibri" w:cs="Calibri"/>
        </w:rPr>
        <w:t>and identifying sectoral activities and investments to be funded</w:t>
      </w:r>
      <w:r>
        <w:rPr>
          <w:rFonts w:ascii="Calibri" w:hAnsi="Calibri" w:cs="Calibri"/>
        </w:rPr>
        <w:t xml:space="preserve">.  They are drawn from the respective </w:t>
      </w:r>
      <w:r w:rsidR="004149A8">
        <w:rPr>
          <w:rFonts w:ascii="Calibri" w:hAnsi="Calibri" w:cs="Calibri"/>
        </w:rPr>
        <w:t xml:space="preserve">draft </w:t>
      </w:r>
      <w:r>
        <w:rPr>
          <w:rFonts w:ascii="Calibri" w:hAnsi="Calibri" w:cs="Calibri"/>
        </w:rPr>
        <w:t xml:space="preserve">sector Grant and Budget Information Papers.  </w:t>
      </w:r>
    </w:p>
    <w:p w:rsidR="004149A8" w:rsidRDefault="004149A8" w:rsidP="004149A8">
      <w:pPr>
        <w:pStyle w:val="Heading3"/>
      </w:pPr>
      <w:r>
        <w:t>Sector Development Budget Requirements</w:t>
      </w:r>
    </w:p>
    <w:p w:rsidR="004149A8" w:rsidRDefault="004149A8" w:rsidP="000457B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7442"/>
      </w:tblGrid>
      <w:tr w:rsidR="00C90AB4" w:rsidRPr="000F5470" w:rsidTr="002B0638">
        <w:trPr>
          <w:tblHeader/>
        </w:trPr>
        <w:tc>
          <w:tcPr>
            <w:tcW w:w="1455" w:type="dxa"/>
            <w:shd w:val="clear" w:color="auto" w:fill="D9D9D9" w:themeFill="background1" w:themeFillShade="D9"/>
          </w:tcPr>
          <w:p w:rsidR="00C90AB4" w:rsidRPr="000F5470" w:rsidRDefault="00C90AB4" w:rsidP="0048448E">
            <w:pPr>
              <w:rPr>
                <w:b/>
              </w:rPr>
            </w:pPr>
            <w:r w:rsidRPr="000F5470">
              <w:rPr>
                <w:b/>
              </w:rPr>
              <w:t xml:space="preserve">Sector </w:t>
            </w:r>
          </w:p>
        </w:tc>
        <w:tc>
          <w:tcPr>
            <w:tcW w:w="7442" w:type="dxa"/>
            <w:shd w:val="clear" w:color="auto" w:fill="D9D9D9" w:themeFill="background1" w:themeFillShade="D9"/>
          </w:tcPr>
          <w:p w:rsidR="00C90AB4" w:rsidRPr="000F5470" w:rsidRDefault="00C90AB4" w:rsidP="0048448E">
            <w:pPr>
              <w:rPr>
                <w:b/>
              </w:rPr>
            </w:pPr>
            <w:r w:rsidRPr="000F5470">
              <w:rPr>
                <w:b/>
              </w:rPr>
              <w:t>Indicative Positive List</w:t>
            </w:r>
          </w:p>
        </w:tc>
      </w:tr>
      <w:tr w:rsidR="00C90AB4" w:rsidRPr="000F5470" w:rsidTr="002B0638">
        <w:tc>
          <w:tcPr>
            <w:tcW w:w="1455" w:type="dxa"/>
          </w:tcPr>
          <w:p w:rsidR="00C90AB4" w:rsidRDefault="00C90AB4" w:rsidP="0048448E">
            <w:r w:rsidRPr="000F5470">
              <w:t>Works</w:t>
            </w:r>
            <w:r>
              <w:t xml:space="preserve"> &amp; Transport</w:t>
            </w:r>
          </w:p>
          <w:p w:rsidR="00C90AB4" w:rsidRPr="000F5470" w:rsidRDefault="00C90AB4" w:rsidP="0048448E"/>
        </w:tc>
        <w:tc>
          <w:tcPr>
            <w:tcW w:w="7442" w:type="dxa"/>
          </w:tcPr>
          <w:p w:rsidR="00C90AB4" w:rsidRDefault="00C90AB4" w:rsidP="00C90AB4">
            <w:pPr>
              <w:tabs>
                <w:tab w:val="left" w:pos="438"/>
              </w:tabs>
              <w:spacing w:line="256" w:lineRule="auto"/>
            </w:pPr>
            <w:r>
              <w:t>At least 80% of the development budget will be used to fund road rehabilitation or construction and may also fund the purchase of vehicles and equipment.</w:t>
            </w:r>
          </w:p>
          <w:p w:rsidR="00C90AB4" w:rsidRDefault="00C90AB4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Priority interventions will be</w:t>
            </w:r>
            <w:r w:rsidRPr="00541CD6">
              <w:t xml:space="preserve"> based on a road conditions assessment </w:t>
            </w:r>
            <w:r>
              <w:t xml:space="preserve">(RAMPS) </w:t>
            </w:r>
            <w:r w:rsidRPr="00541CD6">
              <w:t>which will include road inventory, road condition data and traffic data.</w:t>
            </w:r>
          </w:p>
          <w:p w:rsidR="00C90AB4" w:rsidRDefault="00C90AB4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Road rehabilitation should be fully funded before a local government proposes to use resources for the construction of a new road. </w:t>
            </w:r>
          </w:p>
          <w:p w:rsidR="00C90AB4" w:rsidRPr="000F5470" w:rsidRDefault="00C90AB4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It must be ensured that on-going works are completed, paid for and infrastructure made fully functional: priority given to: (</w:t>
            </w:r>
            <w:proofErr w:type="spellStart"/>
            <w:r>
              <w:t>i</w:t>
            </w:r>
            <w:proofErr w:type="spellEnd"/>
            <w:r>
              <w:t>) r</w:t>
            </w:r>
            <w:r w:rsidRPr="00BD7181">
              <w:t>e</w:t>
            </w:r>
            <w:r>
              <w:t xml:space="preserve">pair/maintenance of existing investments; (ii) completion/extension/construction of new investments on existing facilities; before (iii) construction of new facilities which should be done only when there are provisions for meeting recurrent cost </w:t>
            </w:r>
            <w:proofErr w:type="spellStart"/>
            <w:r>
              <w:t>implications.Between</w:t>
            </w:r>
            <w:proofErr w:type="spellEnd"/>
            <w:r>
              <w:t xml:space="preserve"> 5% and 10% of the development allocations to capital investments will finance investment service costs, such as bills of quantities or economic impact assessments.</w:t>
            </w:r>
          </w:p>
        </w:tc>
      </w:tr>
      <w:tr w:rsidR="00C90AB4" w:rsidRPr="000F5470" w:rsidTr="002B0638">
        <w:tc>
          <w:tcPr>
            <w:tcW w:w="1455" w:type="dxa"/>
          </w:tcPr>
          <w:p w:rsidR="00C90AB4" w:rsidRPr="000F5470" w:rsidRDefault="00C90AB4" w:rsidP="0048448E">
            <w:r>
              <w:t>Agriculture/ Commercial Services</w:t>
            </w:r>
          </w:p>
        </w:tc>
        <w:tc>
          <w:tcPr>
            <w:tcW w:w="7442" w:type="dxa"/>
          </w:tcPr>
          <w:p w:rsidR="00C90AB4" w:rsidRPr="00536ED8" w:rsidRDefault="00C90AB4" w:rsidP="00C90AB4">
            <w:pPr>
              <w:tabs>
                <w:tab w:val="left" w:pos="43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="005E4A0E">
              <w:rPr>
                <w:color w:val="000000" w:themeColor="text1"/>
              </w:rPr>
              <w:t xml:space="preserve">ocal </w:t>
            </w:r>
            <w:r>
              <w:rPr>
                <w:color w:val="000000" w:themeColor="text1"/>
              </w:rPr>
              <w:t>G</w:t>
            </w:r>
            <w:r w:rsidR="005E4A0E">
              <w:rPr>
                <w:color w:val="000000" w:themeColor="text1"/>
              </w:rPr>
              <w:t>overnment</w:t>
            </w:r>
            <w:r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can allocate a minimum of 80% of the development budget to capital including infrastructure, production service delivery facilities and equipment. For example: </w:t>
            </w:r>
          </w:p>
          <w:p w:rsidR="00C90AB4" w:rsidRDefault="00C90AB4" w:rsidP="00CE2BE7">
            <w:pPr>
              <w:pStyle w:val="ListParagraph"/>
              <w:numPr>
                <w:ilvl w:val="0"/>
                <w:numId w:val="4"/>
              </w:numPr>
              <w:tabs>
                <w:tab w:val="left" w:pos="43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Construction of small size farmer field schools valley dams, slaughter slabs, post-harvest loss saving stores, value addition facilities and cooling service points for fish</w:t>
            </w:r>
            <w:r w:rsidRPr="009553A0">
              <w:rPr>
                <w:color w:val="000000" w:themeColor="text1"/>
              </w:rPr>
              <w:t xml:space="preserve"> </w:t>
            </w:r>
          </w:p>
          <w:p w:rsidR="00C90AB4" w:rsidRDefault="00C90AB4" w:rsidP="00CE2BE7">
            <w:pPr>
              <w:pStyle w:val="ListParagraph"/>
              <w:numPr>
                <w:ilvl w:val="0"/>
                <w:numId w:val="4"/>
              </w:numPr>
              <w:tabs>
                <w:tab w:val="left" w:pos="43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Irrigation support infrastructure (in as much as this can be designed and managed by the centre)</w:t>
            </w:r>
          </w:p>
          <w:p w:rsidR="00C90AB4" w:rsidRPr="000F5470" w:rsidRDefault="00C90AB4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color w:val="000000" w:themeColor="text1"/>
              </w:rPr>
              <w:lastRenderedPageBreak/>
              <w:t xml:space="preserve">A maximum of 20% of the development budget allocations can be spent on administrative infrastructure </w:t>
            </w:r>
            <w:proofErr w:type="spellStart"/>
            <w:r>
              <w:rPr>
                <w:color w:val="000000" w:themeColor="text1"/>
              </w:rPr>
              <w:t>e.g</w:t>
            </w:r>
            <w:proofErr w:type="spellEnd"/>
            <w:r>
              <w:rPr>
                <w:color w:val="000000" w:themeColor="text1"/>
              </w:rPr>
              <w:t xml:space="preserve"> construction of office blocks, purchase of office equipment </w:t>
            </w:r>
            <w:proofErr w:type="spellStart"/>
            <w:r>
              <w:rPr>
                <w:color w:val="000000" w:themeColor="text1"/>
              </w:rPr>
              <w:t>etc</w:t>
            </w:r>
            <w:proofErr w:type="spellEnd"/>
          </w:p>
        </w:tc>
      </w:tr>
      <w:tr w:rsidR="008578AA" w:rsidRPr="000F5470" w:rsidTr="002B0638">
        <w:tc>
          <w:tcPr>
            <w:tcW w:w="1455" w:type="dxa"/>
            <w:vMerge w:val="restart"/>
          </w:tcPr>
          <w:p w:rsidR="008578AA" w:rsidRDefault="008578AA" w:rsidP="008578AA">
            <w:r>
              <w:lastRenderedPageBreak/>
              <w:t xml:space="preserve">Water and </w:t>
            </w:r>
            <w:r w:rsidRPr="000F5470">
              <w:t>Envir</w:t>
            </w:r>
            <w:r>
              <w:t>onment</w:t>
            </w:r>
          </w:p>
        </w:tc>
        <w:tc>
          <w:tcPr>
            <w:tcW w:w="7442" w:type="dxa"/>
          </w:tcPr>
          <w:p w:rsidR="008578AA" w:rsidRPr="000311A1" w:rsidRDefault="008578AA" w:rsidP="000311A1">
            <w:pPr>
              <w:tabs>
                <w:tab w:val="left" w:pos="438"/>
              </w:tabs>
              <w:rPr>
                <w:i/>
                <w:lang w:eastAsia="en-GB"/>
              </w:rPr>
            </w:pPr>
            <w:r w:rsidRPr="000311A1">
              <w:rPr>
                <w:i/>
              </w:rPr>
              <w:t>Rehabilitation and Maintenance of Water Sources by Sub-counties</w:t>
            </w:r>
          </w:p>
          <w:p w:rsidR="008578AA" w:rsidRPr="000F5470" w:rsidRDefault="008578AA" w:rsidP="000311A1">
            <w:pPr>
              <w:tabs>
                <w:tab w:val="left" w:pos="438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Overall, a maximum of 15% of the Sector Development Budget can be allocated to rehabilitation major repair of water sources.  </w:t>
            </w:r>
            <w:r w:rsidRPr="00E554CF">
              <w:rPr>
                <w:lang w:eastAsia="en-GB"/>
              </w:rPr>
              <w:t xml:space="preserve">Routine </w:t>
            </w:r>
            <w:r>
              <w:rPr>
                <w:lang w:eastAsia="en-GB"/>
              </w:rPr>
              <w:t>maintenance, including minor repairs,</w:t>
            </w:r>
            <w:r w:rsidRPr="00E554CF">
              <w:rPr>
                <w:lang w:eastAsia="en-GB"/>
              </w:rPr>
              <w:t xml:space="preserve"> remains the responsibility of communities and associated water user committees</w:t>
            </w:r>
            <w:r>
              <w:rPr>
                <w:lang w:eastAsia="en-GB"/>
              </w:rPr>
              <w:t xml:space="preserve"> within each </w:t>
            </w:r>
            <w:r w:rsidR="005E4A0E">
              <w:rPr>
                <w:lang w:eastAsia="en-GB"/>
              </w:rPr>
              <w:t>sub county</w:t>
            </w:r>
            <w:r>
              <w:rPr>
                <w:lang w:eastAsia="en-GB"/>
              </w:rPr>
              <w:t>.</w:t>
            </w:r>
          </w:p>
        </w:tc>
      </w:tr>
      <w:tr w:rsidR="008578AA" w:rsidRPr="000F5470" w:rsidTr="002B0638">
        <w:tc>
          <w:tcPr>
            <w:tcW w:w="1455" w:type="dxa"/>
            <w:vMerge/>
          </w:tcPr>
          <w:p w:rsidR="008578AA" w:rsidRDefault="008578AA" w:rsidP="008578AA"/>
        </w:tc>
        <w:tc>
          <w:tcPr>
            <w:tcW w:w="7442" w:type="dxa"/>
          </w:tcPr>
          <w:p w:rsidR="008578AA" w:rsidRPr="000311A1" w:rsidRDefault="008578AA" w:rsidP="008578AA">
            <w:pPr>
              <w:keepNext/>
              <w:keepLines/>
              <w:tabs>
                <w:tab w:val="left" w:pos="438"/>
              </w:tabs>
              <w:rPr>
                <w:i/>
              </w:rPr>
            </w:pPr>
            <w:r w:rsidRPr="000311A1">
              <w:rPr>
                <w:i/>
              </w:rPr>
              <w:t>New Infrastructure Investments</w:t>
            </w:r>
          </w:p>
          <w:p w:rsidR="008578AA" w:rsidRPr="00E554CF" w:rsidRDefault="008578AA" w:rsidP="008578AA">
            <w:pPr>
              <w:keepNext/>
              <w:keepLines/>
              <w:tabs>
                <w:tab w:val="left" w:pos="438"/>
              </w:tabs>
            </w:pPr>
            <w:r w:rsidRPr="00B833D7">
              <w:t>A m</w:t>
            </w:r>
            <w:r w:rsidRPr="002448AF">
              <w:t>inimum 7</w:t>
            </w:r>
            <w:r w:rsidRPr="002D21C8">
              <w:t>5% of the sector development budget</w:t>
            </w:r>
            <w:r w:rsidRPr="00B833D7">
              <w:t xml:space="preserve"> should be allocated to capital - infrastructure, facilities and equipment</w:t>
            </w:r>
            <w:r w:rsidRPr="002448AF">
              <w:t xml:space="preserve"> as well as rehabilitation</w:t>
            </w:r>
            <w:r w:rsidRPr="002D21C8">
              <w:t xml:space="preserve"> and maintenance</w:t>
            </w:r>
            <w:r>
              <w:t xml:space="preserve"> of district specific access and O&amp;M needs.  Such facilities include:</w:t>
            </w:r>
          </w:p>
          <w:p w:rsidR="008578AA" w:rsidRPr="00E554CF" w:rsidRDefault="008578AA" w:rsidP="00CE2BE7">
            <w:pPr>
              <w:numPr>
                <w:ilvl w:val="0"/>
                <w:numId w:val="16"/>
              </w:numPr>
              <w:contextualSpacing/>
              <w:jc w:val="both"/>
            </w:pPr>
            <w:r w:rsidRPr="00E554CF">
              <w:t>Water sources/points</w:t>
            </w:r>
          </w:p>
          <w:p w:rsidR="008578AA" w:rsidRPr="00E554CF" w:rsidRDefault="008578AA" w:rsidP="00CE2BE7">
            <w:pPr>
              <w:numPr>
                <w:ilvl w:val="0"/>
                <w:numId w:val="16"/>
              </w:numPr>
              <w:contextualSpacing/>
              <w:jc w:val="both"/>
            </w:pPr>
            <w:r w:rsidRPr="00E554CF">
              <w:t>Public toilets</w:t>
            </w:r>
          </w:p>
          <w:p w:rsidR="008578AA" w:rsidRPr="00E554CF" w:rsidRDefault="008578AA" w:rsidP="00CE2BE7">
            <w:pPr>
              <w:numPr>
                <w:ilvl w:val="0"/>
                <w:numId w:val="16"/>
              </w:numPr>
              <w:contextualSpacing/>
              <w:jc w:val="both"/>
            </w:pPr>
            <w:r w:rsidRPr="00E554CF">
              <w:t>Sewerage disposal</w:t>
            </w:r>
          </w:p>
          <w:p w:rsidR="008578AA" w:rsidRPr="00E554CF" w:rsidRDefault="008578AA" w:rsidP="008578AA">
            <w:pPr>
              <w:jc w:val="both"/>
            </w:pPr>
          </w:p>
          <w:p w:rsidR="008578AA" w:rsidRDefault="008578AA" w:rsidP="008578AA">
            <w:pPr>
              <w:jc w:val="both"/>
            </w:pPr>
            <w:r>
              <w:t xml:space="preserve">Districts can use part of the sector development grant for office construction and other administrative investments upon requesting and authorization by DWD. </w:t>
            </w:r>
          </w:p>
          <w:p w:rsidR="008578AA" w:rsidRPr="00E554CF" w:rsidRDefault="008578AA" w:rsidP="008578AA">
            <w:pPr>
              <w:jc w:val="both"/>
            </w:pPr>
          </w:p>
          <w:p w:rsidR="008578AA" w:rsidRPr="00E554CF" w:rsidRDefault="008578AA" w:rsidP="008578AA">
            <w:pPr>
              <w:jc w:val="both"/>
            </w:pPr>
            <w:r>
              <w:t xml:space="preserve">The </w:t>
            </w:r>
            <w:r w:rsidRPr="00E554CF">
              <w:t>following principles should be adhered to in selecting development projects</w:t>
            </w:r>
          </w:p>
          <w:p w:rsidR="008578AA" w:rsidRPr="005E7545" w:rsidRDefault="008578AA" w:rsidP="00CE2BE7">
            <w:pPr>
              <w:numPr>
                <w:ilvl w:val="0"/>
                <w:numId w:val="16"/>
              </w:numPr>
              <w:contextualSpacing/>
              <w:jc w:val="both"/>
            </w:pPr>
            <w:r>
              <w:t xml:space="preserve">Priority 1: </w:t>
            </w:r>
            <w:r w:rsidRPr="005E7545">
              <w:t>All those below the national average must be allocated investments before any other sub-counties</w:t>
            </w:r>
          </w:p>
          <w:p w:rsidR="008578AA" w:rsidRPr="005E7545" w:rsidRDefault="008578AA" w:rsidP="00CE2BE7">
            <w:pPr>
              <w:numPr>
                <w:ilvl w:val="0"/>
                <w:numId w:val="16"/>
              </w:numPr>
              <w:contextualSpacing/>
              <w:jc w:val="both"/>
            </w:pPr>
            <w:r>
              <w:t xml:space="preserve">Priority 2: </w:t>
            </w:r>
            <w:r w:rsidRPr="005E7545">
              <w:t xml:space="preserve">If there are more funds available, they should be allocated to sub counties below the </w:t>
            </w:r>
            <w:r>
              <w:t>national target level.</w:t>
            </w:r>
          </w:p>
          <w:p w:rsidR="008578AA" w:rsidRPr="005E7545" w:rsidRDefault="008578AA" w:rsidP="00CE2BE7">
            <w:pPr>
              <w:numPr>
                <w:ilvl w:val="0"/>
                <w:numId w:val="16"/>
              </w:numPr>
              <w:contextualSpacing/>
              <w:jc w:val="both"/>
            </w:pPr>
            <w:r>
              <w:t xml:space="preserve">Priority 3: </w:t>
            </w:r>
            <w:r w:rsidRPr="005E7545">
              <w:t>If there are funds remaining, then allocations can be made to other sub counties.</w:t>
            </w:r>
          </w:p>
          <w:p w:rsidR="008578AA" w:rsidRPr="00E554CF" w:rsidRDefault="008578AA" w:rsidP="008578AA">
            <w:pPr>
              <w:contextualSpacing/>
              <w:jc w:val="both"/>
            </w:pPr>
            <w:r>
              <w:t>A</w:t>
            </w:r>
            <w:r w:rsidRPr="005E7545">
              <w:t xml:space="preserve"> list of sub counties under each category </w:t>
            </w:r>
            <w:r>
              <w:t xml:space="preserve">using data from the MIS will be distributed </w:t>
            </w:r>
            <w:r w:rsidRPr="005E7545">
              <w:t>to Local Governments</w:t>
            </w:r>
            <w:r>
              <w:t xml:space="preserve"> alongside the IPFs and these requirements.</w:t>
            </w:r>
            <w:r w:rsidRPr="005E7545">
              <w:t xml:space="preserve"> </w:t>
            </w:r>
          </w:p>
          <w:p w:rsidR="008578AA" w:rsidRDefault="008578AA" w:rsidP="008578AA">
            <w:pPr>
              <w:contextualSpacing/>
              <w:jc w:val="both"/>
            </w:pPr>
          </w:p>
          <w:p w:rsidR="008578AA" w:rsidRPr="000F5470" w:rsidRDefault="008578AA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Up to 5% of the value of sector infrastructure investments can be allocated to investment servicing costs, including feasibility studies, procurement and monitoring costs.  </w:t>
            </w:r>
          </w:p>
        </w:tc>
      </w:tr>
      <w:tr w:rsidR="008578AA" w:rsidRPr="000F5470" w:rsidTr="002B0638">
        <w:tc>
          <w:tcPr>
            <w:tcW w:w="1455" w:type="dxa"/>
          </w:tcPr>
          <w:p w:rsidR="008578AA" w:rsidRPr="000F5470" w:rsidRDefault="008578AA" w:rsidP="008578AA">
            <w:r w:rsidRPr="000F5470">
              <w:lastRenderedPageBreak/>
              <w:t xml:space="preserve">Primary education </w:t>
            </w:r>
          </w:p>
        </w:tc>
        <w:tc>
          <w:tcPr>
            <w:tcW w:w="7442" w:type="dxa"/>
          </w:tcPr>
          <w:p w:rsidR="008578AA" w:rsidRPr="00933E72" w:rsidRDefault="008578AA" w:rsidP="00CE2BE7">
            <w:pPr>
              <w:keepNext/>
              <w:keepLines/>
              <w:numPr>
                <w:ilvl w:val="0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933E72">
              <w:rPr>
                <w:rFonts w:eastAsia="Times New Roman"/>
              </w:rPr>
              <w:t xml:space="preserve">A minimum of 80% of development </w:t>
            </w:r>
            <w:r>
              <w:rPr>
                <w:rFonts w:eastAsia="Times New Roman"/>
              </w:rPr>
              <w:t>budget</w:t>
            </w:r>
            <w:r w:rsidRPr="00933E72">
              <w:rPr>
                <w:rFonts w:eastAsia="Times New Roman"/>
              </w:rPr>
              <w:t xml:space="preserve"> will be used for capital investments, to fund </w:t>
            </w:r>
            <w:r w:rsidRPr="00933E72">
              <w:t>rehabilitation or construction of service delivery or administrative infrastructure</w:t>
            </w:r>
          </w:p>
          <w:p w:rsidR="008578AA" w:rsidRPr="000311A1" w:rsidRDefault="008578AA" w:rsidP="00CE2BE7">
            <w:pPr>
              <w:keepNext/>
              <w:keepLines/>
              <w:numPr>
                <w:ilvl w:val="0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933E72">
              <w:rPr>
                <w:rFonts w:eastAsia="Times New Roman"/>
              </w:rPr>
              <w:t xml:space="preserve">A </w:t>
            </w:r>
            <w:r w:rsidRPr="008578AA">
              <w:rPr>
                <w:rFonts w:eastAsia="Times New Roman"/>
              </w:rPr>
              <w:t xml:space="preserve">maximum of 10% of allocations to capital investments </w:t>
            </w:r>
            <w:r w:rsidRPr="000311A1">
              <w:rPr>
                <w:rFonts w:eastAsia="Times New Roman"/>
              </w:rPr>
              <w:t>will finance investment servicing costs such as bills of quantities or economic impact assessments</w:t>
            </w:r>
          </w:p>
          <w:p w:rsidR="008578AA" w:rsidRPr="000311A1" w:rsidRDefault="008578AA" w:rsidP="00CE2BE7">
            <w:pPr>
              <w:keepNext/>
              <w:keepLines/>
              <w:numPr>
                <w:ilvl w:val="0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>LGs are required to adhere to the principles and guidelines for prioritising education infrastructure construction and rehabilitation:</w:t>
            </w:r>
          </w:p>
          <w:p w:rsidR="008578AA" w:rsidRPr="000311A1" w:rsidRDefault="008578AA" w:rsidP="00CE2BE7">
            <w:pPr>
              <w:keepNext/>
              <w:keepLines/>
              <w:numPr>
                <w:ilvl w:val="1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 xml:space="preserve">For Primary School Facilities:  Priority should be given to a) parishes which do not have </w:t>
            </w:r>
            <w:r w:rsidR="005E4A0E" w:rsidRPr="000311A1">
              <w:rPr>
                <w:rFonts w:eastAsia="Times New Roman"/>
              </w:rPr>
              <w:t>primary</w:t>
            </w:r>
            <w:r w:rsidRPr="000311A1">
              <w:rPr>
                <w:rFonts w:eastAsia="Times New Roman"/>
              </w:rPr>
              <w:t xml:space="preserve"> schools and b) the schools with the highest pupil to classroom ratios.  Those schools performing poorly in PLE exams which meet criteria a) and b) should be given highest priority.</w:t>
            </w:r>
          </w:p>
          <w:p w:rsidR="008578AA" w:rsidRPr="000311A1" w:rsidRDefault="008578AA" w:rsidP="00CE2BE7">
            <w:pPr>
              <w:keepNext/>
              <w:keepLines/>
              <w:numPr>
                <w:ilvl w:val="1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 xml:space="preserve">For Secondary School Facilities:  Priority should be given to a) </w:t>
            </w:r>
            <w:proofErr w:type="spellStart"/>
            <w:r w:rsidRPr="000311A1">
              <w:rPr>
                <w:rFonts w:eastAsia="Times New Roman"/>
              </w:rPr>
              <w:t>subcounties</w:t>
            </w:r>
            <w:proofErr w:type="spellEnd"/>
            <w:r w:rsidRPr="000311A1">
              <w:rPr>
                <w:rFonts w:eastAsia="Times New Roman"/>
              </w:rPr>
              <w:t xml:space="preserve"> without secondary schools b) schools with high pupil to classroom ratios.  Those schools performing poorly in UCE and UACE should be given higher priority.    </w:t>
            </w:r>
          </w:p>
          <w:p w:rsidR="008578AA" w:rsidRPr="000311A1" w:rsidRDefault="008578AA" w:rsidP="00CE2BE7">
            <w:pPr>
              <w:keepNext/>
              <w:keepLines/>
              <w:numPr>
                <w:ilvl w:val="1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 xml:space="preserve">For Teacher Housing:  Teacher’s housing should be prioritised in schools in hard to reach areas and those areas which are far from urban settlements.  </w:t>
            </w:r>
          </w:p>
          <w:p w:rsidR="008578AA" w:rsidRPr="000311A1" w:rsidRDefault="008578AA" w:rsidP="00CE2BE7">
            <w:pPr>
              <w:keepNext/>
              <w:keepLines/>
              <w:numPr>
                <w:ilvl w:val="1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>For Sanitation Infrastructure: priority should be given to schools without sanitation facilities.</w:t>
            </w:r>
          </w:p>
          <w:p w:rsidR="008578AA" w:rsidRPr="000311A1" w:rsidRDefault="008578AA" w:rsidP="00CE2BE7">
            <w:pPr>
              <w:keepNext/>
              <w:keepLines/>
              <w:numPr>
                <w:ilvl w:val="0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 xml:space="preserve">The complete costs of infrastructure investments must be budgeted for in a given year (e.g. the full costs of a classroom block, teachers house </w:t>
            </w:r>
            <w:proofErr w:type="spellStart"/>
            <w:r w:rsidRPr="000311A1">
              <w:rPr>
                <w:rFonts w:eastAsia="Times New Roman"/>
              </w:rPr>
              <w:t>etc</w:t>
            </w:r>
            <w:proofErr w:type="spellEnd"/>
            <w:r w:rsidRPr="000311A1">
              <w:rPr>
                <w:rFonts w:eastAsia="Times New Roman"/>
              </w:rPr>
              <w:t xml:space="preserve">).   LGs are encouraged to combine sector grant funds with DDEG funding to ensure this is the case.    </w:t>
            </w:r>
          </w:p>
          <w:p w:rsidR="008578AA" w:rsidRPr="000311A1" w:rsidRDefault="008578AA" w:rsidP="00CE2BE7">
            <w:pPr>
              <w:keepNext/>
              <w:keepLines/>
              <w:numPr>
                <w:ilvl w:val="0"/>
                <w:numId w:val="4"/>
              </w:numPr>
              <w:spacing w:before="40"/>
              <w:jc w:val="both"/>
              <w:outlineLvl w:val="2"/>
              <w:rPr>
                <w:rFonts w:eastAsia="Times New Roman"/>
              </w:rPr>
            </w:pPr>
            <w:r w:rsidRPr="000311A1">
              <w:rPr>
                <w:rFonts w:eastAsia="Times New Roman"/>
              </w:rPr>
              <w:t>Priority should be completion of incomplete works left unfinished by donor or other programmes.</w:t>
            </w:r>
          </w:p>
          <w:p w:rsidR="008578AA" w:rsidRPr="000F5470" w:rsidRDefault="008578AA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311A1">
              <w:rPr>
                <w:rFonts w:eastAsia="Times New Roman"/>
              </w:rPr>
              <w:t>LGs should be guided by the indicative positive and negative lists for selection of these investments.</w:t>
            </w:r>
          </w:p>
        </w:tc>
      </w:tr>
      <w:tr w:rsidR="008578AA" w:rsidRPr="000F5470" w:rsidTr="002B0638">
        <w:tc>
          <w:tcPr>
            <w:tcW w:w="1455" w:type="dxa"/>
          </w:tcPr>
          <w:p w:rsidR="008578AA" w:rsidRPr="000F5470" w:rsidRDefault="008578AA" w:rsidP="008578AA">
            <w:r>
              <w:t>Health</w:t>
            </w:r>
          </w:p>
        </w:tc>
        <w:tc>
          <w:tcPr>
            <w:tcW w:w="7442" w:type="dxa"/>
          </w:tcPr>
          <w:p w:rsidR="008578AA" w:rsidRPr="000311A1" w:rsidRDefault="008578AA" w:rsidP="00CE2BE7">
            <w:pPr>
              <w:pStyle w:val="ListParagraph"/>
              <w:numPr>
                <w:ilvl w:val="0"/>
                <w:numId w:val="5"/>
              </w:numPr>
              <w:tabs>
                <w:tab w:val="left" w:pos="438"/>
              </w:tabs>
            </w:pPr>
            <w:r w:rsidRPr="006A6D41">
              <w:t xml:space="preserve">At least 85% </w:t>
            </w:r>
            <w:r w:rsidRPr="000311A1">
              <w:t>of the development budget will be used to fund health infrastructure rehabilitation or construction (</w:t>
            </w:r>
            <w:r w:rsidRPr="000311A1">
              <w:rPr>
                <w:b/>
              </w:rPr>
              <w:t>refer to table below guiding on principles for selecting eligible investments</w:t>
            </w:r>
            <w:r w:rsidRPr="000311A1">
              <w:t>).</w:t>
            </w:r>
          </w:p>
          <w:p w:rsidR="008578AA" w:rsidRPr="000311A1" w:rsidRDefault="008578AA" w:rsidP="00CE2BE7">
            <w:pPr>
              <w:pStyle w:val="ListParagraph"/>
              <w:numPr>
                <w:ilvl w:val="0"/>
                <w:numId w:val="5"/>
              </w:numPr>
              <w:tabs>
                <w:tab w:val="left" w:pos="438"/>
              </w:tabs>
            </w:pPr>
            <w:r w:rsidRPr="000311A1">
              <w:t>10% of budget allocations to health infrastructure and rehabilitation (capital outputs) will finance investment service costs, such as bills of quantities or economic impact assessments.</w:t>
            </w:r>
          </w:p>
          <w:p w:rsidR="008578AA" w:rsidRPr="000311A1" w:rsidRDefault="008578AA" w:rsidP="00CE2BE7">
            <w:pPr>
              <w:pStyle w:val="ListParagraph"/>
              <w:numPr>
                <w:ilvl w:val="0"/>
                <w:numId w:val="5"/>
              </w:numPr>
              <w:tabs>
                <w:tab w:val="left" w:pos="438"/>
              </w:tabs>
            </w:pPr>
            <w:r w:rsidRPr="000311A1">
              <w:t>Infrastructure investments must be prioritised as follows in order of priority:</w:t>
            </w:r>
          </w:p>
          <w:p w:rsidR="008578AA" w:rsidRPr="000311A1" w:rsidRDefault="005E4A0E" w:rsidP="00CE2BE7">
            <w:pPr>
              <w:pStyle w:val="ListParagraph"/>
              <w:numPr>
                <w:ilvl w:val="1"/>
                <w:numId w:val="5"/>
              </w:numPr>
            </w:pPr>
            <w:r w:rsidRPr="000311A1">
              <w:t>Rehabilitation</w:t>
            </w:r>
            <w:r w:rsidR="008578AA" w:rsidRPr="000311A1">
              <w:t xml:space="preserve"> of existing investments;</w:t>
            </w:r>
          </w:p>
          <w:p w:rsidR="008578AA" w:rsidRPr="000311A1" w:rsidRDefault="005E4A0E" w:rsidP="00CE2BE7">
            <w:pPr>
              <w:pStyle w:val="ListParagraph"/>
              <w:numPr>
                <w:ilvl w:val="1"/>
                <w:numId w:val="5"/>
              </w:numPr>
            </w:pPr>
            <w:r w:rsidRPr="000311A1">
              <w:t>C</w:t>
            </w:r>
            <w:r w:rsidR="008578AA" w:rsidRPr="000311A1">
              <w:t>ompletion</w:t>
            </w:r>
            <w:r w:rsidR="008578AA" w:rsidRPr="000311A1">
              <w:t xml:space="preserve">/extension/upgrading of existing facilities; </w:t>
            </w:r>
            <w:r>
              <w:t>and</w:t>
            </w:r>
          </w:p>
          <w:p w:rsidR="008578AA" w:rsidRPr="000311A1" w:rsidRDefault="008578AA" w:rsidP="00CE2BE7">
            <w:pPr>
              <w:pStyle w:val="ListParagraph"/>
              <w:numPr>
                <w:ilvl w:val="1"/>
                <w:numId w:val="5"/>
              </w:numPr>
            </w:pPr>
            <w:proofErr w:type="gramStart"/>
            <w:r w:rsidRPr="000311A1">
              <w:t xml:space="preserve">( </w:t>
            </w:r>
            <w:r w:rsidR="005E4A0E" w:rsidRPr="000311A1">
              <w:t>Construction</w:t>
            </w:r>
            <w:proofErr w:type="gramEnd"/>
            <w:r w:rsidRPr="000311A1">
              <w:t xml:space="preserve"> of new facilities, which should be done only when there are provisions for meeting recurrent cost implications. </w:t>
            </w:r>
          </w:p>
          <w:p w:rsidR="008578AA" w:rsidRPr="000F5470" w:rsidRDefault="008578AA" w:rsidP="00CE2BE7">
            <w:pPr>
              <w:pStyle w:val="ListParagraph"/>
              <w:numPr>
                <w:ilvl w:val="0"/>
                <w:numId w:val="5"/>
              </w:numPr>
            </w:pPr>
            <w:r w:rsidRPr="000311A1">
              <w:t xml:space="preserve">Priority should be given to </w:t>
            </w:r>
            <w:r w:rsidR="005E4A0E" w:rsidRPr="000311A1">
              <w:t>sub counties</w:t>
            </w:r>
            <w:r w:rsidRPr="000311A1">
              <w:t xml:space="preserve"> without a fully functional HCIII or counties without a functional HCIV.</w:t>
            </w:r>
            <w:r>
              <w:t xml:space="preserve">  </w:t>
            </w:r>
          </w:p>
        </w:tc>
      </w:tr>
      <w:tr w:rsidR="008578AA" w:rsidRPr="000F5470" w:rsidTr="002B0638">
        <w:tc>
          <w:tcPr>
            <w:tcW w:w="1455" w:type="dxa"/>
          </w:tcPr>
          <w:p w:rsidR="008578AA" w:rsidRPr="000F5470" w:rsidRDefault="008578AA" w:rsidP="008578AA">
            <w:r w:rsidRPr="000F5470">
              <w:t>Social Development</w:t>
            </w:r>
          </w:p>
        </w:tc>
        <w:tc>
          <w:tcPr>
            <w:tcW w:w="7442" w:type="dxa"/>
          </w:tcPr>
          <w:p w:rsidR="008578AA" w:rsidRPr="000F5470" w:rsidRDefault="008578AA" w:rsidP="00CE2BE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This sector has n</w:t>
            </w:r>
            <w:r w:rsidRPr="00623E3F">
              <w:t xml:space="preserve">o development grant.  </w:t>
            </w:r>
            <w:r>
              <w:t>LGs may however fund capacity development activities from the discretionary development equalisation grant (DDEG).</w:t>
            </w:r>
          </w:p>
        </w:tc>
      </w:tr>
    </w:tbl>
    <w:p w:rsidR="00080CCC" w:rsidRDefault="00080CCC" w:rsidP="000457B2">
      <w:pPr>
        <w:rPr>
          <w:rFonts w:ascii="Calibri" w:hAnsi="Calibri" w:cs="Calibri"/>
        </w:rPr>
      </w:pPr>
    </w:p>
    <w:p w:rsidR="000457B2" w:rsidRDefault="00080CCC" w:rsidP="002B0638">
      <w:r>
        <w:rPr>
          <w:rFonts w:ascii="Calibri" w:hAnsi="Calibri" w:cs="Calibri"/>
        </w:rPr>
        <w:t xml:space="preserve">The tables below provide indicative </w:t>
      </w:r>
      <w:r>
        <w:rPr>
          <w:rFonts w:ascii="Calibri" w:hAnsi="Calibri" w:cs="Calibri"/>
        </w:rPr>
        <w:t>list</w:t>
      </w:r>
      <w:r w:rsidR="005E4A0E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of </w:t>
      </w:r>
      <w:r>
        <w:rPr>
          <w:rFonts w:ascii="Calibri" w:hAnsi="Calibri" w:cs="Calibri"/>
          <w:b/>
          <w:bCs/>
        </w:rPr>
        <w:t xml:space="preserve">capital investments for service delivery, other development activities, and capacity </w:t>
      </w:r>
      <w:r w:rsidR="005E4A0E">
        <w:rPr>
          <w:rFonts w:ascii="Calibri" w:hAnsi="Calibri" w:cs="Calibri"/>
          <w:b/>
          <w:bCs/>
        </w:rPr>
        <w:t xml:space="preserve">development </w:t>
      </w:r>
      <w:r w:rsidR="005E4A0E">
        <w:rPr>
          <w:rFonts w:ascii="Calibri" w:hAnsi="Calibri" w:cs="Calibri"/>
        </w:rPr>
        <w:t>which</w:t>
      </w:r>
      <w:r>
        <w:rPr>
          <w:rFonts w:ascii="Calibri" w:hAnsi="Calibri" w:cs="Calibri"/>
        </w:rPr>
        <w:t xml:space="preserve"> may or may not be funded under the </w:t>
      </w:r>
      <w:r>
        <w:rPr>
          <w:rFonts w:ascii="Calibri" w:hAnsi="Calibri" w:cs="Calibri"/>
        </w:rPr>
        <w:lastRenderedPageBreak/>
        <w:t xml:space="preserve">sector development budget from central government grants.  These lists are drawn from the sector Grant and Budget Information Papers.  </w:t>
      </w:r>
    </w:p>
    <w:p w:rsidR="008D09F3" w:rsidRDefault="00C33BF7" w:rsidP="00C33BF7">
      <w:pPr>
        <w:pStyle w:val="Heading3"/>
      </w:pPr>
      <w:r>
        <w:t>C</w:t>
      </w:r>
      <w:r w:rsidR="00040D56">
        <w:t>apital</w:t>
      </w:r>
      <w:r w:rsidR="00EE1C5E">
        <w:t xml:space="preserve"> investments for</w:t>
      </w:r>
      <w:r w:rsidR="00040D56">
        <w:t xml:space="preserve"> </w:t>
      </w:r>
      <w:r w:rsidRPr="00040D56">
        <w:t xml:space="preserve">service delivery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4816"/>
        <w:gridCol w:w="2748"/>
      </w:tblGrid>
      <w:tr w:rsidR="00C33BF7" w:rsidRPr="000F5470" w:rsidTr="002B0638">
        <w:trPr>
          <w:tblHeader/>
        </w:trPr>
        <w:tc>
          <w:tcPr>
            <w:tcW w:w="1455" w:type="dxa"/>
            <w:shd w:val="clear" w:color="auto" w:fill="D9D9D9" w:themeFill="background1" w:themeFillShade="D9"/>
          </w:tcPr>
          <w:p w:rsidR="00C33BF7" w:rsidRPr="000F5470" w:rsidRDefault="00C33BF7" w:rsidP="00C33BF7">
            <w:pPr>
              <w:rPr>
                <w:b/>
              </w:rPr>
            </w:pPr>
            <w:r w:rsidRPr="000F5470">
              <w:rPr>
                <w:b/>
              </w:rPr>
              <w:t xml:space="preserve">Sector 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C33BF7" w:rsidRPr="000F5470" w:rsidRDefault="00C33BF7" w:rsidP="00C33BF7">
            <w:pPr>
              <w:rPr>
                <w:b/>
              </w:rPr>
            </w:pPr>
            <w:r w:rsidRPr="000F5470">
              <w:rPr>
                <w:b/>
              </w:rPr>
              <w:t>Indicative Positive List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:rsidR="00C33BF7" w:rsidRPr="000F5470" w:rsidRDefault="00C33BF7" w:rsidP="00C33BF7">
            <w:pPr>
              <w:rPr>
                <w:b/>
              </w:rPr>
            </w:pPr>
            <w:r>
              <w:rPr>
                <w:b/>
              </w:rPr>
              <w:t>Indicative Negative List</w:t>
            </w:r>
          </w:p>
        </w:tc>
      </w:tr>
      <w:tr w:rsidR="00C33BF7" w:rsidRPr="000F5470" w:rsidTr="002B0638">
        <w:tc>
          <w:tcPr>
            <w:tcW w:w="1455" w:type="dxa"/>
          </w:tcPr>
          <w:p w:rsidR="00C33BF7" w:rsidRDefault="00C33BF7" w:rsidP="00C33BF7">
            <w:r w:rsidRPr="000F5470">
              <w:t>Works</w:t>
            </w:r>
            <w:r>
              <w:t xml:space="preserve"> &amp; Transport</w:t>
            </w:r>
          </w:p>
          <w:p w:rsidR="00C33BF7" w:rsidRPr="000F5470" w:rsidRDefault="00C33BF7" w:rsidP="00C33BF7"/>
        </w:tc>
        <w:tc>
          <w:tcPr>
            <w:tcW w:w="4979" w:type="dxa"/>
          </w:tcPr>
          <w:p w:rsidR="00C33BF7" w:rsidRPr="000F5470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 xml:space="preserve">Rehabilitation </w:t>
            </w:r>
            <w:r>
              <w:t xml:space="preserve">and/or construction </w:t>
            </w:r>
            <w:r w:rsidRPr="000F5470">
              <w:t xml:space="preserve">of </w:t>
            </w:r>
            <w:r w:rsidR="00DC729C">
              <w:t xml:space="preserve">district </w:t>
            </w:r>
            <w:r w:rsidRPr="000F5470">
              <w:t>roa</w:t>
            </w:r>
            <w:r>
              <w:t>ds</w:t>
            </w:r>
            <w:r w:rsidR="00B1657C">
              <w:t xml:space="preserve"> and/or urban </w:t>
            </w:r>
            <w:r>
              <w:t>with associated infrastructure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Construction or rehabilitation of foot paths,</w:t>
            </w:r>
          </w:p>
          <w:p w:rsidR="00C33BF7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Culverts and bridges</w:t>
            </w:r>
          </w:p>
          <w:p w:rsidR="00C33BF7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Street lights (urban areas)</w:t>
            </w:r>
          </w:p>
          <w:p w:rsidR="00C33BF7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Urban Solid and liquid waste management</w:t>
            </w:r>
          </w:p>
          <w:p w:rsidR="00C33BF7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Urban transport (bus/taxi/lorry parks)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Urban beatification (public parks, play grounds, urban landscaping etc</w:t>
            </w:r>
            <w:proofErr w:type="gramStart"/>
            <w:r>
              <w:t>..</w:t>
            </w:r>
            <w:r w:rsidR="004B4F76">
              <w:t>)</w:t>
            </w:r>
            <w:proofErr w:type="gramEnd"/>
          </w:p>
        </w:tc>
        <w:tc>
          <w:tcPr>
            <w:tcW w:w="2808" w:type="dxa"/>
          </w:tcPr>
          <w:p w:rsidR="00C33BF7" w:rsidRDefault="00B1657C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Rehabilitation and/or construction of national roads within the district</w:t>
            </w:r>
          </w:p>
          <w:p w:rsidR="00061CB4" w:rsidRPr="000F5470" w:rsidRDefault="00061CB4" w:rsidP="002B0638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  <w:tr w:rsidR="007A70DF" w:rsidRPr="000F5470" w:rsidTr="002B0638">
        <w:tc>
          <w:tcPr>
            <w:tcW w:w="1455" w:type="dxa"/>
          </w:tcPr>
          <w:p w:rsidR="007A70DF" w:rsidRPr="000F5470" w:rsidRDefault="007A70DF" w:rsidP="007A70DF">
            <w:r>
              <w:t>Agriculture/ Commercial Services</w:t>
            </w:r>
          </w:p>
        </w:tc>
        <w:tc>
          <w:tcPr>
            <w:tcW w:w="4979" w:type="dxa"/>
          </w:tcPr>
          <w:p w:rsidR="007A70DF" w:rsidRPr="000F5470" w:rsidRDefault="007A70DF" w:rsidP="00CE2BE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6B6899">
              <w:rPr>
                <w:color w:val="000000" w:themeColor="text1"/>
              </w:rPr>
              <w:t xml:space="preserve">Small scale </w:t>
            </w:r>
            <w:r>
              <w:t>c</w:t>
            </w:r>
            <w:r w:rsidRPr="000F5470">
              <w:t>ommunal valley dams for livestock watering with a watering trough or a cattle crush.</w:t>
            </w:r>
          </w:p>
          <w:p w:rsidR="007A70DF" w:rsidRPr="006B6899" w:rsidRDefault="007A70DF" w:rsidP="002B0638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rPr>
                <w:color w:val="000000" w:themeColor="text1"/>
              </w:rPr>
            </w:pPr>
            <w:r w:rsidRPr="006B6899">
              <w:rPr>
                <w:color w:val="000000" w:themeColor="text1"/>
              </w:rPr>
              <w:t>Small level irrigations systems in drought prone areas</w:t>
            </w:r>
            <w:r>
              <w:rPr>
                <w:color w:val="000000" w:themeColor="text1"/>
              </w:rPr>
              <w:t xml:space="preserve"> for communal use, </w:t>
            </w:r>
            <w:r w:rsidRPr="006B6899">
              <w:rPr>
                <w:color w:val="000000" w:themeColor="text1"/>
              </w:rPr>
              <w:t xml:space="preserve">Irrigation demonstration </w:t>
            </w:r>
            <w:proofErr w:type="spellStart"/>
            <w:r w:rsidRPr="006B6899">
              <w:rPr>
                <w:color w:val="000000" w:themeColor="text1"/>
              </w:rPr>
              <w:t>centers</w:t>
            </w:r>
            <w:proofErr w:type="spellEnd"/>
            <w:r w:rsidRPr="006B6899">
              <w:rPr>
                <w:color w:val="000000" w:themeColor="text1"/>
              </w:rPr>
              <w:t xml:space="preserve">  at small scale</w:t>
            </w:r>
          </w:p>
          <w:p w:rsidR="007A70DF" w:rsidRDefault="007A70DF" w:rsidP="00CE2BE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6B6899">
              <w:rPr>
                <w:color w:val="000000" w:themeColor="text1"/>
              </w:rPr>
              <w:t>Construction of slaughter slabs and  abattoir</w:t>
            </w:r>
            <w:r>
              <w:rPr>
                <w:color w:val="000000" w:themeColor="text1"/>
              </w:rPr>
              <w:t xml:space="preserve">, </w:t>
            </w:r>
            <w:r w:rsidRPr="000F5470">
              <w:t>Livestock markets</w:t>
            </w:r>
            <w:r>
              <w:t xml:space="preserve">, </w:t>
            </w:r>
            <w:r w:rsidRPr="000F5470">
              <w:t>Communal cattle dips</w:t>
            </w:r>
          </w:p>
          <w:p w:rsidR="007A70DF" w:rsidRPr="006B6899" w:rsidRDefault="007A70DF" w:rsidP="002B0638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rPr>
                <w:color w:val="000000" w:themeColor="text1"/>
              </w:rPr>
            </w:pPr>
            <w:r w:rsidRPr="006B6899">
              <w:rPr>
                <w:color w:val="000000" w:themeColor="text1"/>
              </w:rPr>
              <w:t xml:space="preserve">Equipment to support tests for emergent Avian flu or influenza outbreaks among poultry cattle </w:t>
            </w:r>
          </w:p>
          <w:p w:rsidR="007A70DF" w:rsidRPr="006B6899" w:rsidRDefault="007A70DF" w:rsidP="002B0638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</w:pPr>
            <w:r w:rsidRPr="006B6899">
              <w:rPr>
                <w:color w:val="000000" w:themeColor="text1"/>
              </w:rPr>
              <w:t>MIS to support data management for farming produce, SMEs and other value addition and trade aspects as they evolve.</w:t>
            </w:r>
          </w:p>
          <w:p w:rsidR="007A70DF" w:rsidRDefault="007A70DF" w:rsidP="002B0638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</w:pPr>
            <w:r w:rsidRPr="006B6899">
              <w:rPr>
                <w:color w:val="000000" w:themeColor="text1"/>
              </w:rPr>
              <w:t>Demonstration fish ponds</w:t>
            </w:r>
            <w:r>
              <w:rPr>
                <w:color w:val="000000" w:themeColor="text1"/>
              </w:rPr>
              <w:t>, f</w:t>
            </w:r>
            <w:r w:rsidRPr="000F5470">
              <w:t>isheries landing sites</w:t>
            </w:r>
            <w:r>
              <w:t>,  c</w:t>
            </w:r>
            <w:r w:rsidRPr="006B6899">
              <w:rPr>
                <w:color w:val="000000" w:themeColor="text1"/>
              </w:rPr>
              <w:t>ool chains for landing sites</w:t>
            </w:r>
            <w:r>
              <w:rPr>
                <w:color w:val="000000" w:themeColor="text1"/>
              </w:rPr>
              <w:t>,</w:t>
            </w:r>
            <w:r w:rsidRPr="006B6899">
              <w:rPr>
                <w:color w:val="000000" w:themeColor="text1"/>
              </w:rPr>
              <w:t xml:space="preserve"> </w:t>
            </w:r>
            <w:r>
              <w:t>fis</w:t>
            </w:r>
            <w:r w:rsidRPr="000F5470">
              <w:t>h drying kiln</w:t>
            </w:r>
          </w:p>
          <w:p w:rsidR="007A70DF" w:rsidRPr="000F5470" w:rsidRDefault="007A70DF" w:rsidP="00CE2BE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0F5470">
              <w:t>Market structures</w:t>
            </w:r>
          </w:p>
          <w:p w:rsidR="007A70DF" w:rsidRPr="000F5470" w:rsidRDefault="007A70DF" w:rsidP="00CE2BE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0F5470">
              <w:t>Group marketing facilities such as storage</w:t>
            </w:r>
          </w:p>
          <w:p w:rsidR="007A70DF" w:rsidRPr="000F5470" w:rsidRDefault="007A70DF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Plant clinics/mini laboratories</w:t>
            </w:r>
          </w:p>
        </w:tc>
        <w:tc>
          <w:tcPr>
            <w:tcW w:w="2808" w:type="dxa"/>
          </w:tcPr>
          <w:p w:rsidR="007A70DF" w:rsidRPr="006B6899" w:rsidRDefault="007A70DF" w:rsidP="00CE2BE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rPr>
                <w:color w:val="000000" w:themeColor="text1"/>
              </w:rPr>
            </w:pPr>
            <w:r w:rsidRPr="006B6899">
              <w:rPr>
                <w:color w:val="000000" w:themeColor="text1"/>
              </w:rPr>
              <w:t>Large scale valley dams</w:t>
            </w:r>
          </w:p>
          <w:p w:rsidR="007A70DF" w:rsidRPr="006B6899" w:rsidRDefault="007A70DF" w:rsidP="00CE2BE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rPr>
                <w:color w:val="000000" w:themeColor="text1"/>
              </w:rPr>
            </w:pPr>
            <w:r w:rsidRPr="006B6899">
              <w:rPr>
                <w:color w:val="000000" w:themeColor="text1"/>
              </w:rPr>
              <w:t xml:space="preserve">Farmer Institutional Support Services </w:t>
            </w:r>
          </w:p>
          <w:p w:rsidR="007A70DF" w:rsidRDefault="007A70DF" w:rsidP="00CE2BE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rPr>
                <w:color w:val="000000" w:themeColor="text1"/>
              </w:rPr>
            </w:pPr>
            <w:r w:rsidRPr="006B6899">
              <w:rPr>
                <w:color w:val="000000" w:themeColor="text1"/>
              </w:rPr>
              <w:t>Large scale Training centres</w:t>
            </w:r>
          </w:p>
          <w:p w:rsidR="00544E88" w:rsidRPr="006B6899" w:rsidRDefault="00544E88" w:rsidP="00CE2BE7">
            <w:pPr>
              <w:pStyle w:val="ListParagraph"/>
              <w:numPr>
                <w:ilvl w:val="0"/>
                <w:numId w:val="10"/>
              </w:numPr>
              <w:tabs>
                <w:tab w:val="left" w:pos="438"/>
              </w:tabs>
              <w:rPr>
                <w:color w:val="000000" w:themeColor="text1"/>
              </w:rPr>
            </w:pPr>
            <w:r w:rsidRPr="006B6899">
              <w:rPr>
                <w:color w:val="000000" w:themeColor="text1"/>
              </w:rPr>
              <w:t>Specialist Farmer field schools – which should be at this stage coordinated by the centre</w:t>
            </w:r>
          </w:p>
          <w:p w:rsidR="007A70DF" w:rsidRPr="000F5470" w:rsidRDefault="007A70DF" w:rsidP="007A70DF">
            <w:pPr>
              <w:jc w:val="both"/>
            </w:pPr>
          </w:p>
        </w:tc>
      </w:tr>
      <w:tr w:rsidR="00505C61" w:rsidRPr="000F5470" w:rsidTr="002B0638">
        <w:tc>
          <w:tcPr>
            <w:tcW w:w="1455" w:type="dxa"/>
          </w:tcPr>
          <w:p w:rsidR="00505C61" w:rsidRDefault="00505C61" w:rsidP="00505C61">
            <w:r>
              <w:t xml:space="preserve">Water and </w:t>
            </w:r>
            <w:r w:rsidRPr="000F5470">
              <w:t>Envir</w:t>
            </w:r>
            <w:r>
              <w:t>onment</w:t>
            </w:r>
          </w:p>
        </w:tc>
        <w:tc>
          <w:tcPr>
            <w:tcW w:w="4979" w:type="dxa"/>
          </w:tcPr>
          <w:p w:rsidR="00505C61" w:rsidRPr="0092085B" w:rsidRDefault="00505C61" w:rsidP="00CE2BE7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92085B">
              <w:t>Water sources/points:</w:t>
            </w:r>
          </w:p>
          <w:p w:rsidR="00505C61" w:rsidRPr="0092085B" w:rsidRDefault="00505C61" w:rsidP="00CE2BE7">
            <w:pPr>
              <w:pStyle w:val="ListParagraph"/>
              <w:numPr>
                <w:ilvl w:val="1"/>
                <w:numId w:val="14"/>
              </w:numPr>
              <w:jc w:val="both"/>
            </w:pPr>
            <w:r w:rsidRPr="0092085B">
              <w:t xml:space="preserve">protected springs; </w:t>
            </w:r>
          </w:p>
          <w:p w:rsidR="00505C61" w:rsidRPr="0092085B" w:rsidRDefault="00505C61" w:rsidP="00CE2BE7">
            <w:pPr>
              <w:pStyle w:val="ListParagraph"/>
              <w:numPr>
                <w:ilvl w:val="1"/>
                <w:numId w:val="14"/>
              </w:numPr>
              <w:jc w:val="both"/>
            </w:pPr>
            <w:r w:rsidRPr="0092085B">
              <w:t xml:space="preserve">shallow wells, </w:t>
            </w:r>
          </w:p>
          <w:p w:rsidR="00505C61" w:rsidRPr="0092085B" w:rsidRDefault="00505C61" w:rsidP="00CE2BE7">
            <w:pPr>
              <w:pStyle w:val="ListParagraph"/>
              <w:numPr>
                <w:ilvl w:val="1"/>
                <w:numId w:val="14"/>
              </w:numPr>
              <w:jc w:val="both"/>
            </w:pPr>
            <w:r w:rsidRPr="0092085B">
              <w:t>boreholes (hand pump, motorised)</w:t>
            </w:r>
          </w:p>
          <w:p w:rsidR="00505C61" w:rsidRPr="0092085B" w:rsidRDefault="00505C61" w:rsidP="00CE2BE7">
            <w:pPr>
              <w:pStyle w:val="ListParagraph"/>
              <w:numPr>
                <w:ilvl w:val="1"/>
                <w:numId w:val="14"/>
              </w:numPr>
              <w:jc w:val="both"/>
            </w:pPr>
            <w:r w:rsidRPr="0092085B">
              <w:t>piped water supply system (GFS, borehole pumped, surface water)</w:t>
            </w:r>
          </w:p>
          <w:p w:rsidR="00505C61" w:rsidRPr="0092085B" w:rsidRDefault="00505C61" w:rsidP="00CE2BE7">
            <w:pPr>
              <w:pStyle w:val="ListParagraph"/>
              <w:numPr>
                <w:ilvl w:val="1"/>
                <w:numId w:val="14"/>
              </w:numPr>
              <w:jc w:val="both"/>
            </w:pPr>
            <w:r w:rsidRPr="0092085B">
              <w:t>communal water harvesting systems</w:t>
            </w:r>
          </w:p>
          <w:p w:rsidR="00505C61" w:rsidRPr="0092085B" w:rsidRDefault="00505C61" w:rsidP="00CE2BE7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92085B">
              <w:t>Public toilets</w:t>
            </w:r>
          </w:p>
          <w:p w:rsidR="00505C61" w:rsidRPr="000F5470" w:rsidRDefault="00505C61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92085B">
              <w:t>Sewerage disposal</w:t>
            </w:r>
          </w:p>
        </w:tc>
        <w:tc>
          <w:tcPr>
            <w:tcW w:w="2808" w:type="dxa"/>
          </w:tcPr>
          <w:p w:rsidR="00505C61" w:rsidRPr="0092085B" w:rsidRDefault="00505C61" w:rsidP="00CE2BE7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92085B">
              <w:t xml:space="preserve">Household toilets </w:t>
            </w:r>
          </w:p>
          <w:p w:rsidR="00505C61" w:rsidRPr="0092085B" w:rsidRDefault="00505C61" w:rsidP="00CE2BE7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92085B">
              <w:t>Household water harvesting systems/tanks;</w:t>
            </w:r>
          </w:p>
          <w:p w:rsidR="00505C61" w:rsidRPr="0092085B" w:rsidRDefault="00505C61" w:rsidP="00CE2BE7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92085B">
              <w:t>Drainage/storm water drains</w:t>
            </w:r>
          </w:p>
          <w:p w:rsidR="00505C61" w:rsidRPr="000F5470" w:rsidRDefault="00505C61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92085B">
              <w:t>Cross-district piped water systems</w:t>
            </w:r>
          </w:p>
        </w:tc>
      </w:tr>
      <w:tr w:rsidR="003C6B8D" w:rsidRPr="000F5470" w:rsidTr="002B0638">
        <w:tc>
          <w:tcPr>
            <w:tcW w:w="1455" w:type="dxa"/>
          </w:tcPr>
          <w:p w:rsidR="003C6B8D" w:rsidRPr="000F5470" w:rsidRDefault="003C6B8D" w:rsidP="003C6B8D">
            <w:r w:rsidRPr="000F5470">
              <w:t xml:space="preserve">Primary education </w:t>
            </w:r>
          </w:p>
        </w:tc>
        <w:tc>
          <w:tcPr>
            <w:tcW w:w="4979" w:type="dxa"/>
          </w:tcPr>
          <w:p w:rsidR="003C6B8D" w:rsidRDefault="003C6B8D" w:rsidP="002B0638">
            <w:pPr>
              <w:numPr>
                <w:ilvl w:val="0"/>
                <w:numId w:val="12"/>
              </w:numPr>
            </w:pPr>
            <w:r>
              <w:t>Construction, rehabilitation, renovation of classrooms</w:t>
            </w:r>
          </w:p>
          <w:p w:rsidR="003C6B8D" w:rsidRDefault="003C6B8D" w:rsidP="002B0638">
            <w:pPr>
              <w:numPr>
                <w:ilvl w:val="0"/>
                <w:numId w:val="12"/>
              </w:numPr>
            </w:pPr>
            <w:r>
              <w:t xml:space="preserve">Procurement of classroom furniture </w:t>
            </w:r>
          </w:p>
          <w:p w:rsidR="003C6B8D" w:rsidRDefault="003C6B8D" w:rsidP="002B0638">
            <w:pPr>
              <w:numPr>
                <w:ilvl w:val="0"/>
                <w:numId w:val="12"/>
              </w:numPr>
            </w:pPr>
            <w:r>
              <w:t>Construction of teacher houses</w:t>
            </w:r>
          </w:p>
          <w:p w:rsidR="003C6B8D" w:rsidRDefault="003C6B8D" w:rsidP="002B0638">
            <w:pPr>
              <w:numPr>
                <w:ilvl w:val="0"/>
                <w:numId w:val="12"/>
              </w:numPr>
            </w:pPr>
            <w:r>
              <w:t>Construction of sanitation facilities in hard to stay areas</w:t>
            </w:r>
          </w:p>
          <w:p w:rsidR="003C6B8D" w:rsidRDefault="003C6B8D" w:rsidP="002B0638">
            <w:pPr>
              <w:numPr>
                <w:ilvl w:val="0"/>
                <w:numId w:val="12"/>
              </w:numPr>
            </w:pPr>
            <w:r>
              <w:t>Construction of water facilities at schools</w:t>
            </w:r>
          </w:p>
          <w:p w:rsidR="003C6B8D" w:rsidRDefault="003C6B8D" w:rsidP="002B0638">
            <w:pPr>
              <w:numPr>
                <w:ilvl w:val="0"/>
                <w:numId w:val="12"/>
              </w:numPr>
            </w:pPr>
            <w:r>
              <w:lastRenderedPageBreak/>
              <w:t>Construction of dormitories to primary schools with peculiar conditions (</w:t>
            </w:r>
            <w:proofErr w:type="spellStart"/>
            <w:r>
              <w:t>eg</w:t>
            </w:r>
            <w:proofErr w:type="spellEnd"/>
            <w:r>
              <w:t xml:space="preserve"> in </w:t>
            </w:r>
            <w:proofErr w:type="spellStart"/>
            <w:r>
              <w:t>Sebei</w:t>
            </w:r>
            <w:proofErr w:type="spellEnd"/>
            <w:r>
              <w:t xml:space="preserve"> region, </w:t>
            </w:r>
            <w:proofErr w:type="spellStart"/>
            <w:r>
              <w:t>Karamoja</w:t>
            </w:r>
            <w:proofErr w:type="spellEnd"/>
            <w:r>
              <w:t xml:space="preserve"> region, - this varies accordingly and priority is given to the girl child)</w:t>
            </w:r>
          </w:p>
          <w:p w:rsidR="003C6B8D" w:rsidRPr="000F5470" w:rsidRDefault="003C6B8D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Other infrastructure for schools (o</w:t>
            </w:r>
            <w:r w:rsidRPr="000F5470">
              <w:t>ffices;</w:t>
            </w:r>
            <w:r>
              <w:t xml:space="preserve"> k</w:t>
            </w:r>
            <w:r w:rsidRPr="000F5470">
              <w:t>itchen</w:t>
            </w:r>
            <w:r>
              <w:t xml:space="preserve"> and s</w:t>
            </w:r>
            <w:r w:rsidRPr="000F5470">
              <w:t>tore</w:t>
            </w:r>
            <w:r>
              <w:t>; lightening conductors; fencing)</w:t>
            </w:r>
          </w:p>
        </w:tc>
        <w:tc>
          <w:tcPr>
            <w:tcW w:w="2808" w:type="dxa"/>
          </w:tcPr>
          <w:p w:rsidR="003C6B8D" w:rsidRPr="000F5470" w:rsidRDefault="003C6B8D" w:rsidP="00CE2BE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  <w:tr w:rsidR="003C6B8D" w:rsidRPr="000F5470" w:rsidTr="002B0638">
        <w:tc>
          <w:tcPr>
            <w:tcW w:w="1455" w:type="dxa"/>
          </w:tcPr>
          <w:p w:rsidR="003C6B8D" w:rsidRPr="000F5470" w:rsidRDefault="003C6B8D" w:rsidP="003C6B8D">
            <w:r>
              <w:lastRenderedPageBreak/>
              <w:t>Secondary Education</w:t>
            </w:r>
          </w:p>
        </w:tc>
        <w:tc>
          <w:tcPr>
            <w:tcW w:w="4979" w:type="dxa"/>
          </w:tcPr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>Construction of new classrooms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>Rehabilitation/renovation of classrooms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 xml:space="preserve">Procurement of classroom furniture 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>Construction of teacher houses in hard to stay areas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>Construction of sanitation facilities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>Construction of libraries and furnishing them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>Construction and equipping of laboratories</w:t>
            </w:r>
          </w:p>
          <w:p w:rsidR="003C6B8D" w:rsidRDefault="003C6B8D" w:rsidP="00CE2BE7">
            <w:pPr>
              <w:numPr>
                <w:ilvl w:val="0"/>
                <w:numId w:val="12"/>
              </w:numPr>
            </w:pPr>
            <w:r>
              <w:t xml:space="preserve">Provision of ICT facilities (computers), virtual libraries </w:t>
            </w:r>
          </w:p>
          <w:p w:rsidR="003C6B8D" w:rsidRPr="000F5470" w:rsidRDefault="003C6B8D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Other infrastructure for schools (o</w:t>
            </w:r>
            <w:r w:rsidRPr="000F5470">
              <w:t>ffices;</w:t>
            </w:r>
            <w:r>
              <w:t xml:space="preserve"> k</w:t>
            </w:r>
            <w:r w:rsidRPr="000F5470">
              <w:t>itchen</w:t>
            </w:r>
            <w:r>
              <w:t xml:space="preserve"> and s</w:t>
            </w:r>
            <w:r w:rsidRPr="000F5470">
              <w:t>tore</w:t>
            </w:r>
            <w:r>
              <w:t>; lightening conductors; fencing; solar power)</w:t>
            </w:r>
          </w:p>
        </w:tc>
        <w:tc>
          <w:tcPr>
            <w:tcW w:w="2808" w:type="dxa"/>
          </w:tcPr>
          <w:p w:rsidR="003C6B8D" w:rsidRDefault="003C6B8D" w:rsidP="00CE2BE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  <w:tr w:rsidR="00C33BF7" w:rsidRPr="000F5470" w:rsidTr="002B0638">
        <w:tc>
          <w:tcPr>
            <w:tcW w:w="1455" w:type="dxa"/>
          </w:tcPr>
          <w:p w:rsidR="00C33BF7" w:rsidRPr="000F5470" w:rsidRDefault="00C33BF7" w:rsidP="00C33BF7">
            <w:r w:rsidRPr="000F5470">
              <w:t>Primary health care (Health Centres II; III and IV)</w:t>
            </w:r>
          </w:p>
        </w:tc>
        <w:tc>
          <w:tcPr>
            <w:tcW w:w="4979" w:type="dxa"/>
          </w:tcPr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</w:pPr>
            <w:r w:rsidRPr="000F5470">
              <w:t>Out Patient Department (OPD) block</w:t>
            </w:r>
          </w:p>
          <w:p w:rsidR="00C33BF7" w:rsidRPr="000F5470" w:rsidRDefault="004B4F76" w:rsidP="00CE2BE7">
            <w:pPr>
              <w:pStyle w:val="ListParagraph"/>
              <w:numPr>
                <w:ilvl w:val="0"/>
                <w:numId w:val="5"/>
              </w:numPr>
            </w:pPr>
            <w:r>
              <w:t>M</w:t>
            </w:r>
            <w:r w:rsidR="00C33BF7" w:rsidRPr="000F5470">
              <w:t>aternity ward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  <w:jc w:val="both"/>
            </w:pPr>
            <w:r w:rsidRPr="000F5470">
              <w:t>General ward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  <w:jc w:val="both"/>
            </w:pPr>
            <w:r w:rsidRPr="000F5470">
              <w:t>Operating Theatre (Health Centre IV)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  <w:jc w:val="both"/>
            </w:pPr>
            <w:r w:rsidRPr="000F5470">
              <w:t>Drug store</w:t>
            </w:r>
            <w:r w:rsidR="00B1657C">
              <w:t>, cold storage for vaccines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  <w:jc w:val="both"/>
            </w:pPr>
            <w:r w:rsidRPr="000F5470">
              <w:t>Mortuary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</w:pPr>
            <w:r w:rsidRPr="000F5470">
              <w:t>Staff houses</w:t>
            </w:r>
          </w:p>
          <w:p w:rsidR="00C33BF7" w:rsidRPr="000F5470" w:rsidRDefault="004B4F76" w:rsidP="00CE2BE7">
            <w:pPr>
              <w:pStyle w:val="ListParagraph"/>
              <w:numPr>
                <w:ilvl w:val="0"/>
                <w:numId w:val="5"/>
              </w:numPr>
            </w:pPr>
            <w:r>
              <w:t>P</w:t>
            </w:r>
            <w:r w:rsidR="00C33BF7" w:rsidRPr="000F5470">
              <w:t>it latrines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</w:pPr>
            <w:r w:rsidRPr="000F5470">
              <w:t>Medical Waste pit</w:t>
            </w:r>
          </w:p>
          <w:p w:rsidR="00C33BF7" w:rsidRPr="000F5470" w:rsidRDefault="00C33BF7" w:rsidP="00CE2BE7">
            <w:pPr>
              <w:pStyle w:val="ListParagraph"/>
              <w:numPr>
                <w:ilvl w:val="0"/>
                <w:numId w:val="5"/>
              </w:numPr>
            </w:pPr>
            <w:r w:rsidRPr="000F5470">
              <w:t>Water source</w:t>
            </w:r>
          </w:p>
          <w:p w:rsidR="00C33BF7" w:rsidRDefault="004B4F76" w:rsidP="00CE2BE7">
            <w:pPr>
              <w:pStyle w:val="ListParagraph"/>
              <w:numPr>
                <w:ilvl w:val="0"/>
                <w:numId w:val="5"/>
              </w:numPr>
            </w:pPr>
            <w:r>
              <w:t>Medical equipment and f</w:t>
            </w:r>
            <w:r w:rsidR="00C33BF7" w:rsidRPr="000F5470">
              <w:t>urniture</w:t>
            </w:r>
          </w:p>
          <w:p w:rsidR="007E5F9A" w:rsidRPr="000F5470" w:rsidRDefault="007E5F9A" w:rsidP="00CE2BE7">
            <w:pPr>
              <w:pStyle w:val="ListParagraph"/>
              <w:numPr>
                <w:ilvl w:val="0"/>
                <w:numId w:val="5"/>
              </w:numPr>
            </w:pPr>
            <w:r>
              <w:t>Furniture</w:t>
            </w:r>
          </w:p>
          <w:p w:rsidR="00C33BF7" w:rsidRDefault="00C33BF7" w:rsidP="00CE2BE7">
            <w:pPr>
              <w:pStyle w:val="ListParagraph"/>
              <w:numPr>
                <w:ilvl w:val="0"/>
                <w:numId w:val="5"/>
              </w:numPr>
            </w:pPr>
            <w:r w:rsidRPr="000F5470">
              <w:t>Electricity (grid or solar)</w:t>
            </w:r>
          </w:p>
          <w:p w:rsidR="00B1657C" w:rsidRDefault="00B1657C" w:rsidP="00CE2BE7">
            <w:pPr>
              <w:pStyle w:val="ListParagraph"/>
              <w:numPr>
                <w:ilvl w:val="0"/>
                <w:numId w:val="5"/>
              </w:numPr>
            </w:pPr>
            <w:r>
              <w:t xml:space="preserve">Fencing </w:t>
            </w:r>
          </w:p>
          <w:p w:rsidR="00F74CF8" w:rsidRPr="000F5470" w:rsidRDefault="00F74CF8" w:rsidP="00CE2BE7">
            <w:pPr>
              <w:pStyle w:val="ListParagraph"/>
              <w:numPr>
                <w:ilvl w:val="0"/>
                <w:numId w:val="5"/>
              </w:numPr>
            </w:pPr>
            <w:r>
              <w:t>Equipment in health facilities</w:t>
            </w:r>
          </w:p>
        </w:tc>
        <w:tc>
          <w:tcPr>
            <w:tcW w:w="2808" w:type="dxa"/>
          </w:tcPr>
          <w:p w:rsidR="00C33BF7" w:rsidRPr="000F5470" w:rsidRDefault="00C33BF7" w:rsidP="002B063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206D1" w:rsidRPr="000F5470" w:rsidTr="002B0638">
        <w:tc>
          <w:tcPr>
            <w:tcW w:w="1455" w:type="dxa"/>
          </w:tcPr>
          <w:p w:rsidR="002206D1" w:rsidRPr="000F5470" w:rsidRDefault="002206D1" w:rsidP="002206D1">
            <w:r w:rsidRPr="000F5470">
              <w:t>Social Development</w:t>
            </w:r>
          </w:p>
        </w:tc>
        <w:tc>
          <w:tcPr>
            <w:tcW w:w="4979" w:type="dxa"/>
          </w:tcPr>
          <w:p w:rsidR="002206D1" w:rsidRPr="00623E3F" w:rsidRDefault="002206D1" w:rsidP="00CE2BE7">
            <w:pPr>
              <w:pStyle w:val="ListParagraph"/>
              <w:numPr>
                <w:ilvl w:val="0"/>
                <w:numId w:val="15"/>
              </w:numPr>
            </w:pPr>
            <w:r w:rsidRPr="00623E3F">
              <w:t>Facilities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5"/>
              </w:numPr>
            </w:pPr>
            <w:r w:rsidRPr="00623E3F">
              <w:t>Community / Training Centres at the LLG level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5"/>
              </w:numPr>
            </w:pPr>
            <w:r w:rsidRPr="00623E3F">
              <w:t>Public libraries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5"/>
              </w:numPr>
            </w:pPr>
            <w:r w:rsidRPr="00623E3F">
              <w:t>Reception Centres</w:t>
            </w:r>
          </w:p>
          <w:p w:rsidR="002206D1" w:rsidRPr="00623E3F" w:rsidRDefault="002206D1" w:rsidP="00CE2BE7">
            <w:pPr>
              <w:pStyle w:val="ListParagraph"/>
              <w:numPr>
                <w:ilvl w:val="0"/>
                <w:numId w:val="15"/>
              </w:numPr>
            </w:pPr>
            <w:r>
              <w:t xml:space="preserve">Purchase of </w:t>
            </w:r>
            <w:r w:rsidRPr="00623E3F">
              <w:t>Equipment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5"/>
              </w:numPr>
            </w:pPr>
            <w:r w:rsidRPr="00623E3F">
              <w:t>Providing CDO’s / FAL instructors with equipment on which they have received training.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5"/>
              </w:numPr>
            </w:pPr>
            <w:r w:rsidRPr="00623E3F">
              <w:t xml:space="preserve">Data collection and storage </w:t>
            </w:r>
            <w:r>
              <w:t>equipment</w:t>
            </w:r>
          </w:p>
          <w:p w:rsidR="002206D1" w:rsidRPr="00623E3F" w:rsidRDefault="002206D1" w:rsidP="00CE2BE7">
            <w:pPr>
              <w:pStyle w:val="ListParagraph"/>
              <w:numPr>
                <w:ilvl w:val="0"/>
                <w:numId w:val="15"/>
              </w:numPr>
            </w:pPr>
            <w:r w:rsidRPr="00623E3F">
              <w:t>Transport</w:t>
            </w:r>
          </w:p>
          <w:p w:rsidR="002206D1" w:rsidRPr="000F5470" w:rsidRDefault="002206D1" w:rsidP="00CE2BE7">
            <w:pPr>
              <w:pStyle w:val="ListParagraph"/>
              <w:numPr>
                <w:ilvl w:val="0"/>
                <w:numId w:val="6"/>
              </w:numPr>
              <w:jc w:val="both"/>
            </w:pPr>
            <w:r w:rsidRPr="00623E3F">
              <w:t>Bicycles</w:t>
            </w:r>
            <w:r>
              <w:t>/Motorcycles</w:t>
            </w:r>
            <w:r w:rsidRPr="00623E3F">
              <w:t xml:space="preserve"> for CDO’s at the LLG level</w:t>
            </w:r>
          </w:p>
        </w:tc>
        <w:tc>
          <w:tcPr>
            <w:tcW w:w="2808" w:type="dxa"/>
          </w:tcPr>
          <w:p w:rsidR="002206D1" w:rsidRPr="00623E3F" w:rsidRDefault="002206D1" w:rsidP="00CE2BE7">
            <w:pPr>
              <w:pStyle w:val="ListParagraph"/>
              <w:numPr>
                <w:ilvl w:val="0"/>
                <w:numId w:val="15"/>
              </w:numPr>
            </w:pPr>
            <w:r w:rsidRPr="00623E3F">
              <w:t xml:space="preserve">Transport </w:t>
            </w:r>
          </w:p>
          <w:p w:rsidR="002206D1" w:rsidRPr="000F5470" w:rsidRDefault="002206D1" w:rsidP="00CE2BE7">
            <w:pPr>
              <w:pStyle w:val="ListParagraph"/>
              <w:numPr>
                <w:ilvl w:val="1"/>
                <w:numId w:val="6"/>
              </w:numPr>
              <w:jc w:val="both"/>
            </w:pPr>
            <w:r w:rsidRPr="00623E3F">
              <w:t xml:space="preserve">Motor Vehicles </w:t>
            </w:r>
          </w:p>
        </w:tc>
      </w:tr>
    </w:tbl>
    <w:p w:rsidR="005D02AF" w:rsidRDefault="005D02AF" w:rsidP="00EE1C5E">
      <w:pPr>
        <w:pStyle w:val="Heading3"/>
      </w:pPr>
    </w:p>
    <w:p w:rsidR="00EE1C5E" w:rsidRDefault="00EE1C5E" w:rsidP="00EE1C5E">
      <w:pPr>
        <w:pStyle w:val="Heading3"/>
      </w:pPr>
      <w:r>
        <w:t>Capital investments for A</w:t>
      </w:r>
      <w:r w:rsidRPr="00040D56">
        <w:t>dministrati</w:t>
      </w:r>
      <w:r>
        <w:t>on</w:t>
      </w:r>
      <w:r w:rsidRPr="00040D5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4791"/>
        <w:gridCol w:w="2364"/>
      </w:tblGrid>
      <w:tr w:rsidR="00EE1C5E" w:rsidRPr="000F5470" w:rsidTr="002B0638">
        <w:trPr>
          <w:tblHeader/>
        </w:trPr>
        <w:tc>
          <w:tcPr>
            <w:tcW w:w="1886" w:type="dxa"/>
            <w:shd w:val="clear" w:color="auto" w:fill="D9D9D9" w:themeFill="background1" w:themeFillShade="D9"/>
          </w:tcPr>
          <w:p w:rsidR="00EE1C5E" w:rsidRPr="000F5470" w:rsidRDefault="00EE1C5E" w:rsidP="00B1657C">
            <w:pPr>
              <w:rPr>
                <w:b/>
              </w:rPr>
            </w:pPr>
            <w:r w:rsidRPr="000F5470">
              <w:rPr>
                <w:b/>
              </w:rPr>
              <w:t xml:space="preserve">Sector 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:rsidR="00EE1C5E" w:rsidRPr="000F5470" w:rsidRDefault="00EE1C5E" w:rsidP="00B1657C">
            <w:pPr>
              <w:rPr>
                <w:b/>
              </w:rPr>
            </w:pPr>
            <w:r w:rsidRPr="000F5470">
              <w:rPr>
                <w:b/>
              </w:rPr>
              <w:t>Indicative Positive List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EE1C5E" w:rsidRPr="000F5470" w:rsidRDefault="00EE1C5E" w:rsidP="00B1657C">
            <w:pPr>
              <w:rPr>
                <w:b/>
              </w:rPr>
            </w:pPr>
            <w:r>
              <w:rPr>
                <w:b/>
              </w:rPr>
              <w:t>Indicative Negative List</w:t>
            </w:r>
          </w:p>
        </w:tc>
      </w:tr>
      <w:tr w:rsidR="007A70DF" w:rsidRPr="000F5470" w:rsidTr="002B0638">
        <w:tc>
          <w:tcPr>
            <w:tcW w:w="1886" w:type="dxa"/>
          </w:tcPr>
          <w:p w:rsidR="007A70DF" w:rsidRPr="000F5470" w:rsidDel="007A70DF" w:rsidRDefault="007A70DF" w:rsidP="007A70DF">
            <w:r>
              <w:t>Public Sector Management / Administration</w:t>
            </w:r>
          </w:p>
        </w:tc>
        <w:tc>
          <w:tcPr>
            <w:tcW w:w="4932" w:type="dxa"/>
          </w:tcPr>
          <w:p w:rsidR="007A70DF" w:rsidRDefault="007A70DF" w:rsidP="00CE2BE7">
            <w:pPr>
              <w:pStyle w:val="ListParagraph"/>
              <w:numPr>
                <w:ilvl w:val="0"/>
                <w:numId w:val="11"/>
              </w:numPr>
            </w:pPr>
            <w:r>
              <w:t>Rehabilitation/construction of (and purchase of land for)</w:t>
            </w:r>
          </w:p>
          <w:p w:rsidR="007A70DF" w:rsidRDefault="007A70DF" w:rsidP="00CE2BE7">
            <w:pPr>
              <w:pStyle w:val="ListParagraph"/>
              <w:numPr>
                <w:ilvl w:val="1"/>
                <w:numId w:val="11"/>
              </w:numPr>
            </w:pPr>
            <w:r>
              <w:t>A</w:t>
            </w:r>
            <w:r w:rsidRPr="000F5470">
              <w:t>dministration blocks</w:t>
            </w:r>
            <w:r>
              <w:t xml:space="preserve"> </w:t>
            </w:r>
          </w:p>
          <w:p w:rsidR="007A70DF" w:rsidRDefault="007A70DF" w:rsidP="00CE2BE7">
            <w:pPr>
              <w:pStyle w:val="ListParagraph"/>
              <w:numPr>
                <w:ilvl w:val="1"/>
                <w:numId w:val="11"/>
              </w:numPr>
            </w:pPr>
            <w:r>
              <w:t>Community centres</w:t>
            </w:r>
          </w:p>
          <w:p w:rsidR="007A70DF" w:rsidRDefault="007A70DF" w:rsidP="00CE2BE7">
            <w:pPr>
              <w:pStyle w:val="ListParagraph"/>
              <w:numPr>
                <w:ilvl w:val="1"/>
                <w:numId w:val="11"/>
              </w:numPr>
            </w:pPr>
            <w:r>
              <w:t xml:space="preserve">Staff houses at </w:t>
            </w:r>
            <w:proofErr w:type="spellStart"/>
            <w:r>
              <w:t>subcounty</w:t>
            </w:r>
            <w:proofErr w:type="spellEnd"/>
            <w:r>
              <w:t xml:space="preserve"> headquarters in hard to stay areas</w:t>
            </w:r>
          </w:p>
          <w:p w:rsidR="007A70DF" w:rsidRDefault="007A70DF" w:rsidP="00CE2BE7">
            <w:pPr>
              <w:pStyle w:val="ListParagraph"/>
              <w:numPr>
                <w:ilvl w:val="0"/>
                <w:numId w:val="11"/>
              </w:numPr>
            </w:pPr>
            <w:r>
              <w:t>Equipment for administrative offices</w:t>
            </w:r>
          </w:p>
          <w:p w:rsidR="007A70DF" w:rsidRDefault="007A70DF" w:rsidP="00CE2BE7">
            <w:pPr>
              <w:pStyle w:val="ListParagraph"/>
              <w:numPr>
                <w:ilvl w:val="1"/>
                <w:numId w:val="11"/>
              </w:numPr>
            </w:pPr>
            <w:r>
              <w:t>Computers and peripherals, office furniture &amp; fittings</w:t>
            </w:r>
          </w:p>
          <w:p w:rsidR="007A70DF" w:rsidRDefault="007A70DF" w:rsidP="00CE2BE7">
            <w:pPr>
              <w:pStyle w:val="ListParagraph"/>
              <w:numPr>
                <w:ilvl w:val="1"/>
                <w:numId w:val="11"/>
              </w:numPr>
            </w:pPr>
            <w:r>
              <w:t>Solar systems, generators, extension of grid power to administrative offices</w:t>
            </w:r>
          </w:p>
          <w:p w:rsidR="007A70DF" w:rsidRDefault="007A70DF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Purchase of vehicles for entitled officers (</w:t>
            </w:r>
            <w:proofErr w:type="spellStart"/>
            <w:r>
              <w:t>MoLG</w:t>
            </w:r>
            <w:proofErr w:type="spellEnd"/>
            <w:r>
              <w:t xml:space="preserve"> authorisation required)</w:t>
            </w:r>
          </w:p>
        </w:tc>
        <w:tc>
          <w:tcPr>
            <w:tcW w:w="2424" w:type="dxa"/>
          </w:tcPr>
          <w:p w:rsidR="007A70DF" w:rsidRDefault="007A70DF" w:rsidP="00CE2BE7">
            <w:pPr>
              <w:pStyle w:val="ListParagraph"/>
              <w:numPr>
                <w:ilvl w:val="0"/>
                <w:numId w:val="11"/>
              </w:numPr>
            </w:pPr>
            <w:r>
              <w:t>Purchase of vehicles for officers who are not entitled</w:t>
            </w:r>
          </w:p>
          <w:p w:rsidR="007A70DF" w:rsidRDefault="007A70DF" w:rsidP="00CE2BE7">
            <w:pPr>
              <w:pStyle w:val="ListParagraph"/>
              <w:numPr>
                <w:ilvl w:val="0"/>
                <w:numId w:val="11"/>
              </w:numPr>
            </w:pPr>
            <w:r>
              <w:t xml:space="preserve">Purchase of military equipment.  </w:t>
            </w:r>
          </w:p>
          <w:p w:rsidR="007A70DF" w:rsidRDefault="007A70DF" w:rsidP="00CE2BE7">
            <w:pPr>
              <w:pStyle w:val="ListParagraph"/>
              <w:numPr>
                <w:ilvl w:val="0"/>
                <w:numId w:val="11"/>
              </w:numPr>
            </w:pPr>
            <w:r>
              <w:t>Non capital items.</w:t>
            </w:r>
          </w:p>
        </w:tc>
      </w:tr>
    </w:tbl>
    <w:p w:rsidR="00EE1C5E" w:rsidRDefault="00EE1C5E" w:rsidP="00C33BF7">
      <w:pPr>
        <w:pStyle w:val="Heading3"/>
      </w:pPr>
    </w:p>
    <w:p w:rsidR="00040D56" w:rsidRPr="00DC729C" w:rsidRDefault="005D02AF" w:rsidP="00C33BF7">
      <w:pPr>
        <w:pStyle w:val="Heading3"/>
      </w:pPr>
      <w:r w:rsidRPr="005D02AF">
        <w:t>Other development</w:t>
      </w:r>
      <w:r w:rsidRPr="000C6C24">
        <w:t xml:space="preserve"> activities/expenditures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026"/>
        <w:gridCol w:w="2407"/>
      </w:tblGrid>
      <w:tr w:rsidR="004B4F76" w:rsidRPr="000F5470" w:rsidTr="002B0638">
        <w:trPr>
          <w:tblHeader/>
        </w:trPr>
        <w:tc>
          <w:tcPr>
            <w:tcW w:w="1809" w:type="dxa"/>
            <w:shd w:val="clear" w:color="auto" w:fill="D9D9D9" w:themeFill="background1" w:themeFillShade="D9"/>
          </w:tcPr>
          <w:p w:rsidR="004B4F76" w:rsidRPr="000F5470" w:rsidRDefault="004B4F76" w:rsidP="00C33BF7">
            <w:pPr>
              <w:rPr>
                <w:b/>
              </w:rPr>
            </w:pPr>
            <w:r w:rsidRPr="000F5470">
              <w:rPr>
                <w:b/>
              </w:rPr>
              <w:t xml:space="preserve">Sector </w:t>
            </w:r>
          </w:p>
        </w:tc>
        <w:tc>
          <w:tcPr>
            <w:tcW w:w="5026" w:type="dxa"/>
            <w:shd w:val="clear" w:color="auto" w:fill="D9D9D9" w:themeFill="background1" w:themeFillShade="D9"/>
          </w:tcPr>
          <w:p w:rsidR="004B4F76" w:rsidRPr="000F5470" w:rsidRDefault="004B4F76" w:rsidP="00C33BF7">
            <w:pPr>
              <w:rPr>
                <w:b/>
              </w:rPr>
            </w:pPr>
            <w:r w:rsidRPr="000F5470">
              <w:rPr>
                <w:b/>
              </w:rPr>
              <w:t>Indicative Positive List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4B4F76" w:rsidRPr="000F5470" w:rsidRDefault="004B4F76" w:rsidP="00C33BF7">
            <w:pPr>
              <w:rPr>
                <w:b/>
              </w:rPr>
            </w:pPr>
            <w:r>
              <w:rPr>
                <w:b/>
              </w:rPr>
              <w:t>Indicative Negative List</w:t>
            </w:r>
          </w:p>
        </w:tc>
      </w:tr>
      <w:tr w:rsidR="004B4F76" w:rsidRPr="000F5470" w:rsidTr="002B0638">
        <w:tc>
          <w:tcPr>
            <w:tcW w:w="1809" w:type="dxa"/>
          </w:tcPr>
          <w:p w:rsidR="004B4F76" w:rsidRPr="000F5470" w:rsidRDefault="004B4F76" w:rsidP="00C33BF7">
            <w:r w:rsidRPr="000F5470">
              <w:t>Works</w:t>
            </w:r>
            <w:r>
              <w:t xml:space="preserve"> &amp; Transport</w:t>
            </w:r>
          </w:p>
        </w:tc>
        <w:tc>
          <w:tcPr>
            <w:tcW w:w="5026" w:type="dxa"/>
          </w:tcPr>
          <w:p w:rsidR="004B4F76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Pla</w:t>
            </w:r>
            <w:r w:rsidR="00061CB4">
              <w:t>n</w:t>
            </w:r>
            <w:r>
              <w:t xml:space="preserve">ting of trees on road </w:t>
            </w:r>
            <w:r w:rsidR="005E4A0E">
              <w:t xml:space="preserve">reserves </w:t>
            </w:r>
            <w:r>
              <w:t>etc</w:t>
            </w:r>
            <w:proofErr w:type="gramStart"/>
            <w:r>
              <w:t>..</w:t>
            </w:r>
            <w:proofErr w:type="gramEnd"/>
          </w:p>
          <w:p w:rsidR="00061CB4" w:rsidRPr="000F5470" w:rsidRDefault="00061CB4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Training road user committees for any road investment funded by the DDEG</w:t>
            </w:r>
          </w:p>
        </w:tc>
        <w:tc>
          <w:tcPr>
            <w:tcW w:w="2407" w:type="dxa"/>
          </w:tcPr>
          <w:p w:rsidR="004B4F76" w:rsidRDefault="004B4F76" w:rsidP="002B0638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  <w:tr w:rsidR="004B4F76" w:rsidRPr="000F5470" w:rsidTr="002B0638">
        <w:tc>
          <w:tcPr>
            <w:tcW w:w="1809" w:type="dxa"/>
          </w:tcPr>
          <w:p w:rsidR="004B4F76" w:rsidRPr="000F5470" w:rsidRDefault="004B4F76" w:rsidP="00C33BF7">
            <w:r>
              <w:t>Agriculture/ Commercial Services</w:t>
            </w:r>
          </w:p>
          <w:p w:rsidR="004B4F76" w:rsidRPr="000F5470" w:rsidRDefault="004B4F76" w:rsidP="00C33BF7"/>
        </w:tc>
        <w:tc>
          <w:tcPr>
            <w:tcW w:w="5026" w:type="dxa"/>
          </w:tcPr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 xml:space="preserve">Communal nurseries </w:t>
            </w:r>
          </w:p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 xml:space="preserve">School gardens </w:t>
            </w:r>
          </w:p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Provision of foundation seeds for improved crop varieties to farmer groups</w:t>
            </w:r>
          </w:p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Provision of foundation stocking materials of improved breeds of livestock (including poultry) to farmer groups</w:t>
            </w:r>
          </w:p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Provision of support to community based multiplication of planting and stocking materials</w:t>
            </w:r>
          </w:p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Support to community hatcheries for fish fry and fingerlings</w:t>
            </w:r>
          </w:p>
          <w:p w:rsidR="004B4F76" w:rsidRPr="000F5470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 xml:space="preserve">Establishing commodity outlet centres for bulking; value addition; grading; packaging and branding of farmer produce including appropriate small milk cooling plants  </w:t>
            </w:r>
          </w:p>
          <w:p w:rsidR="00A228FE" w:rsidRDefault="004B4F76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0F5470">
              <w:t>Establishing information centres to enhance information flow (market and other general information).</w:t>
            </w:r>
          </w:p>
        </w:tc>
        <w:tc>
          <w:tcPr>
            <w:tcW w:w="2407" w:type="dxa"/>
          </w:tcPr>
          <w:p w:rsidR="00F74CF8" w:rsidRPr="000F5470" w:rsidRDefault="00F74CF8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Procurement of vaccines</w:t>
            </w:r>
          </w:p>
        </w:tc>
      </w:tr>
      <w:tr w:rsidR="004304AA" w:rsidRPr="000F5470" w:rsidTr="002B0638">
        <w:tc>
          <w:tcPr>
            <w:tcW w:w="1809" w:type="dxa"/>
          </w:tcPr>
          <w:p w:rsidR="004304AA" w:rsidDel="00061CB4" w:rsidRDefault="004304AA" w:rsidP="00C33BF7">
            <w:r>
              <w:t>Water</w:t>
            </w:r>
          </w:p>
        </w:tc>
        <w:tc>
          <w:tcPr>
            <w:tcW w:w="5026" w:type="dxa"/>
          </w:tcPr>
          <w:p w:rsidR="004304AA" w:rsidRDefault="004304AA" w:rsidP="00CE2BE7">
            <w:pPr>
              <w:numPr>
                <w:ilvl w:val="0"/>
                <w:numId w:val="6"/>
              </w:numPr>
              <w:jc w:val="both"/>
            </w:pPr>
            <w:r>
              <w:t>Training Water User Committe</w:t>
            </w:r>
            <w:r w:rsidR="00A755B4">
              <w:t>e</w:t>
            </w:r>
            <w:r>
              <w:t>s for any water investment funded by the DDEG</w:t>
            </w:r>
          </w:p>
          <w:p w:rsidR="000C6C24" w:rsidRPr="000F5470" w:rsidRDefault="000C6C24" w:rsidP="00CE2BE7">
            <w:pPr>
              <w:numPr>
                <w:ilvl w:val="0"/>
                <w:numId w:val="6"/>
              </w:numPr>
              <w:jc w:val="both"/>
            </w:pPr>
            <w:r>
              <w:t>Awareness raising in hygi</w:t>
            </w:r>
            <w:r w:rsidR="007A70DF">
              <w:t>e</w:t>
            </w:r>
            <w:r>
              <w:t>ne and sanitation</w:t>
            </w:r>
          </w:p>
        </w:tc>
        <w:tc>
          <w:tcPr>
            <w:tcW w:w="2407" w:type="dxa"/>
          </w:tcPr>
          <w:p w:rsidR="004304AA" w:rsidRDefault="004304AA" w:rsidP="00C33BF7">
            <w:pPr>
              <w:jc w:val="both"/>
              <w:rPr>
                <w:i/>
              </w:rPr>
            </w:pPr>
          </w:p>
        </w:tc>
      </w:tr>
      <w:tr w:rsidR="002206D1" w:rsidRPr="000F5470" w:rsidTr="002B0638">
        <w:tc>
          <w:tcPr>
            <w:tcW w:w="1809" w:type="dxa"/>
            <w:vMerge w:val="restart"/>
          </w:tcPr>
          <w:p w:rsidR="002206D1" w:rsidRPr="000F5470" w:rsidRDefault="002206D1" w:rsidP="00C33BF7">
            <w:r>
              <w:t>Natural Resources Management</w:t>
            </w:r>
          </w:p>
          <w:p w:rsidR="002206D1" w:rsidRPr="000F5470" w:rsidRDefault="002206D1" w:rsidP="00C33BF7">
            <w:r>
              <w:t>Lands</w:t>
            </w:r>
          </w:p>
        </w:tc>
        <w:tc>
          <w:tcPr>
            <w:tcW w:w="5026" w:type="dxa"/>
            <w:vMerge w:val="restart"/>
          </w:tcPr>
          <w:p w:rsidR="002206D1" w:rsidRPr="000F5470" w:rsidRDefault="002206D1" w:rsidP="00CE2BE7">
            <w:pPr>
              <w:numPr>
                <w:ilvl w:val="0"/>
                <w:numId w:val="6"/>
              </w:numPr>
              <w:jc w:val="both"/>
            </w:pPr>
            <w:r w:rsidRPr="000F5470">
              <w:t>Restoration of degraded wetlands</w:t>
            </w:r>
            <w:r>
              <w:t xml:space="preserve"> and forest reserves</w:t>
            </w:r>
          </w:p>
          <w:p w:rsidR="002206D1" w:rsidRPr="000F5470" w:rsidRDefault="002206D1" w:rsidP="00CE2BE7">
            <w:pPr>
              <w:numPr>
                <w:ilvl w:val="0"/>
                <w:numId w:val="6"/>
              </w:numPr>
              <w:jc w:val="both"/>
            </w:pPr>
            <w:r w:rsidRPr="000F5470">
              <w:t xml:space="preserve">Demarcation of wetland </w:t>
            </w:r>
            <w:r>
              <w:t xml:space="preserve">and forest reserves </w:t>
            </w:r>
            <w:r w:rsidRPr="000F5470">
              <w:t>boundaries</w:t>
            </w:r>
          </w:p>
          <w:p w:rsidR="002206D1" w:rsidRDefault="002206D1" w:rsidP="00CE2BE7">
            <w:pPr>
              <w:numPr>
                <w:ilvl w:val="0"/>
                <w:numId w:val="6"/>
              </w:numPr>
              <w:jc w:val="both"/>
            </w:pPr>
            <w:r w:rsidRPr="000F5470">
              <w:t xml:space="preserve">Demonstration of wetland edge gardening, apiary farming, cottage industries from waste products </w:t>
            </w:r>
            <w:r w:rsidRPr="000F5470">
              <w:lastRenderedPageBreak/>
              <w:t>such as cups from clay, crafts from papyrus, craft houses and community training centres, pottery groups</w:t>
            </w:r>
          </w:p>
          <w:p w:rsidR="002206D1" w:rsidRDefault="002206D1" w:rsidP="00CE2BE7">
            <w:pPr>
              <w:numPr>
                <w:ilvl w:val="0"/>
                <w:numId w:val="6"/>
              </w:numPr>
              <w:jc w:val="both"/>
            </w:pPr>
            <w:r>
              <w:t>Training in environmental best practice (e.g. energy conservation, tree nursery establishment)</w:t>
            </w:r>
          </w:p>
          <w:p w:rsidR="002206D1" w:rsidRPr="000F5470" w:rsidRDefault="002206D1" w:rsidP="00CE2BE7">
            <w:pPr>
              <w:numPr>
                <w:ilvl w:val="0"/>
                <w:numId w:val="6"/>
              </w:numPr>
              <w:jc w:val="both"/>
            </w:pPr>
            <w:r>
              <w:t>Other awareness campaigns and sensitisation on environment and climate change activities</w:t>
            </w:r>
          </w:p>
          <w:p w:rsidR="002206D1" w:rsidRDefault="002206D1" w:rsidP="00CE2B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Surveying and titling institutional land</w:t>
            </w:r>
          </w:p>
          <w:p w:rsidR="002206D1" w:rsidRPr="000F5470" w:rsidRDefault="002206D1" w:rsidP="00CE2B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Land rights awareness training</w:t>
            </w:r>
          </w:p>
        </w:tc>
        <w:tc>
          <w:tcPr>
            <w:tcW w:w="2407" w:type="dxa"/>
          </w:tcPr>
          <w:p w:rsidR="002206D1" w:rsidRDefault="002206D1" w:rsidP="00C33BF7">
            <w:pPr>
              <w:jc w:val="both"/>
              <w:rPr>
                <w:i/>
              </w:rPr>
            </w:pPr>
          </w:p>
        </w:tc>
      </w:tr>
      <w:tr w:rsidR="002206D1" w:rsidRPr="000F5470" w:rsidTr="002B0638">
        <w:tc>
          <w:tcPr>
            <w:tcW w:w="1809" w:type="dxa"/>
            <w:vMerge/>
          </w:tcPr>
          <w:p w:rsidR="002206D1" w:rsidRPr="000F5470" w:rsidRDefault="002206D1" w:rsidP="00C33BF7"/>
        </w:tc>
        <w:tc>
          <w:tcPr>
            <w:tcW w:w="5026" w:type="dxa"/>
            <w:vMerge/>
          </w:tcPr>
          <w:p w:rsidR="002206D1" w:rsidRPr="000F5470" w:rsidRDefault="002206D1" w:rsidP="00CE2BE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2407" w:type="dxa"/>
          </w:tcPr>
          <w:p w:rsidR="002206D1" w:rsidRPr="000F5470" w:rsidRDefault="002206D1" w:rsidP="00C254B7">
            <w:pPr>
              <w:pStyle w:val="ListParagraph"/>
              <w:ind w:left="360"/>
              <w:jc w:val="both"/>
            </w:pPr>
          </w:p>
        </w:tc>
      </w:tr>
    </w:tbl>
    <w:p w:rsidR="00DC729C" w:rsidRDefault="00DC729C" w:rsidP="00DC729C">
      <w:pPr>
        <w:rPr>
          <w:lang w:val="en-US"/>
        </w:rPr>
      </w:pPr>
    </w:p>
    <w:p w:rsidR="007A70DF" w:rsidRDefault="007A70DF" w:rsidP="000311A1">
      <w:pPr>
        <w:pStyle w:val="Heading3"/>
      </w:pPr>
      <w:r w:rsidRPr="000311A1">
        <w:t>Capacity Development</w:t>
      </w:r>
    </w:p>
    <w:p w:rsidR="00080CCC" w:rsidRPr="000311A1" w:rsidRDefault="00080CCC" w:rsidP="000311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702"/>
        <w:gridCol w:w="2765"/>
      </w:tblGrid>
      <w:tr w:rsidR="007A70DF" w:rsidRPr="000F5470" w:rsidTr="002B0638">
        <w:trPr>
          <w:tblHeader/>
        </w:trPr>
        <w:tc>
          <w:tcPr>
            <w:tcW w:w="1549" w:type="dxa"/>
            <w:shd w:val="clear" w:color="auto" w:fill="D9D9D9" w:themeFill="background1" w:themeFillShade="D9"/>
          </w:tcPr>
          <w:p w:rsidR="007A70DF" w:rsidRPr="000F5470" w:rsidRDefault="007A70DF" w:rsidP="00F731C7">
            <w:pPr>
              <w:rPr>
                <w:b/>
              </w:rPr>
            </w:pPr>
            <w:r w:rsidRPr="000F5470">
              <w:rPr>
                <w:b/>
              </w:rPr>
              <w:t xml:space="preserve">Sector </w:t>
            </w:r>
          </w:p>
        </w:tc>
        <w:tc>
          <w:tcPr>
            <w:tcW w:w="4915" w:type="dxa"/>
            <w:shd w:val="clear" w:color="auto" w:fill="D9D9D9" w:themeFill="background1" w:themeFillShade="D9"/>
          </w:tcPr>
          <w:p w:rsidR="007A70DF" w:rsidRPr="000F5470" w:rsidRDefault="007A70DF" w:rsidP="00F731C7">
            <w:pPr>
              <w:rPr>
                <w:b/>
              </w:rPr>
            </w:pPr>
            <w:r w:rsidRPr="000F5470">
              <w:rPr>
                <w:b/>
              </w:rPr>
              <w:t>Indicative Positive List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7A70DF" w:rsidRPr="000F5470" w:rsidRDefault="007A70DF" w:rsidP="00F731C7">
            <w:pPr>
              <w:rPr>
                <w:b/>
              </w:rPr>
            </w:pPr>
            <w:r>
              <w:rPr>
                <w:b/>
              </w:rPr>
              <w:t>Indicative Negative List</w:t>
            </w:r>
          </w:p>
        </w:tc>
      </w:tr>
      <w:tr w:rsidR="007A70DF" w:rsidRPr="000F5470" w:rsidTr="002B0638">
        <w:tc>
          <w:tcPr>
            <w:tcW w:w="1549" w:type="dxa"/>
          </w:tcPr>
          <w:p w:rsidR="007A70DF" w:rsidRDefault="007A70DF" w:rsidP="00F731C7">
            <w:r w:rsidRPr="000F5470">
              <w:t>Works</w:t>
            </w:r>
            <w:r>
              <w:t xml:space="preserve"> &amp; Transport</w:t>
            </w:r>
          </w:p>
          <w:p w:rsidR="007A70DF" w:rsidRPr="000F5470" w:rsidRDefault="007A70DF" w:rsidP="00F731C7"/>
        </w:tc>
        <w:tc>
          <w:tcPr>
            <w:tcW w:w="4915" w:type="dxa"/>
          </w:tcPr>
          <w:p w:rsidR="007A70DF" w:rsidRPr="000F5470" w:rsidRDefault="00F20D1F" w:rsidP="00CE2BE7">
            <w:pPr>
              <w:pStyle w:val="ListParagraph"/>
              <w:numPr>
                <w:ilvl w:val="0"/>
                <w:numId w:val="4"/>
              </w:numPr>
            </w:pPr>
            <w:r>
              <w:t>Short courses and training on RAMPS, required software or project management</w:t>
            </w:r>
          </w:p>
        </w:tc>
        <w:tc>
          <w:tcPr>
            <w:tcW w:w="2778" w:type="dxa"/>
          </w:tcPr>
          <w:p w:rsidR="007A70DF" w:rsidRPr="000F5470" w:rsidRDefault="007A70DF" w:rsidP="00F731C7">
            <w:pPr>
              <w:pStyle w:val="ListParagraph"/>
              <w:ind w:left="360"/>
              <w:jc w:val="both"/>
            </w:pPr>
          </w:p>
        </w:tc>
      </w:tr>
      <w:tr w:rsidR="007A70DF" w:rsidRPr="000F5470" w:rsidTr="002B0638">
        <w:tc>
          <w:tcPr>
            <w:tcW w:w="1549" w:type="dxa"/>
          </w:tcPr>
          <w:p w:rsidR="007A70DF" w:rsidRPr="000F5470" w:rsidRDefault="007A70DF" w:rsidP="007A70DF">
            <w:r>
              <w:t>Agriculture/ Commercial Services</w:t>
            </w:r>
          </w:p>
        </w:tc>
        <w:tc>
          <w:tcPr>
            <w:tcW w:w="4915" w:type="dxa"/>
          </w:tcPr>
          <w:p w:rsidR="007A70DF" w:rsidRDefault="007A70DF" w:rsidP="00CE2BE7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Support training for extension service workers especially on new fish farming practices, crop technologies/varieties, and livestock practices </w:t>
            </w:r>
          </w:p>
          <w:p w:rsidR="007A70DF" w:rsidRPr="000F5470" w:rsidRDefault="007A70DF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Short courses for staff in specific technical areas</w:t>
            </w:r>
          </w:p>
        </w:tc>
        <w:tc>
          <w:tcPr>
            <w:tcW w:w="2778" w:type="dxa"/>
          </w:tcPr>
          <w:p w:rsidR="007A70DF" w:rsidRPr="000F5470" w:rsidRDefault="007A70DF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Training at high level especially Master Programs for district level technical staff</w:t>
            </w:r>
          </w:p>
        </w:tc>
      </w:tr>
      <w:tr w:rsidR="007A70DF" w:rsidRPr="000F5470" w:rsidTr="002B0638">
        <w:tc>
          <w:tcPr>
            <w:tcW w:w="1549" w:type="dxa"/>
          </w:tcPr>
          <w:p w:rsidR="007A70DF" w:rsidRDefault="007A70DF" w:rsidP="007A70DF">
            <w:r>
              <w:t xml:space="preserve">Water and </w:t>
            </w:r>
            <w:r w:rsidRPr="000F5470">
              <w:t>Envir</w:t>
            </w:r>
            <w:r>
              <w:t>onment</w:t>
            </w:r>
          </w:p>
        </w:tc>
        <w:tc>
          <w:tcPr>
            <w:tcW w:w="4915" w:type="dxa"/>
          </w:tcPr>
          <w:p w:rsidR="007A70DF" w:rsidRPr="000F5470" w:rsidRDefault="007A70DF" w:rsidP="00CE2BE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2778" w:type="dxa"/>
          </w:tcPr>
          <w:p w:rsidR="007A70DF" w:rsidRPr="000F5470" w:rsidRDefault="007A70DF" w:rsidP="00CE2BE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  <w:tr w:rsidR="00544E88" w:rsidRPr="000F5470" w:rsidTr="002B0638">
        <w:tc>
          <w:tcPr>
            <w:tcW w:w="1549" w:type="dxa"/>
          </w:tcPr>
          <w:p w:rsidR="00544E88" w:rsidRPr="000F5470" w:rsidRDefault="00544E88" w:rsidP="00544E88">
            <w:r>
              <w:t>E</w:t>
            </w:r>
            <w:r w:rsidRPr="000F5470">
              <w:t xml:space="preserve">ducation </w:t>
            </w:r>
          </w:p>
        </w:tc>
        <w:tc>
          <w:tcPr>
            <w:tcW w:w="4915" w:type="dxa"/>
          </w:tcPr>
          <w:p w:rsidR="00544E88" w:rsidRDefault="00544E88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Short courses</w:t>
            </w:r>
          </w:p>
          <w:p w:rsidR="00544E88" w:rsidRPr="000F5470" w:rsidRDefault="00544E88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Procurement of training equipment </w:t>
            </w:r>
            <w:proofErr w:type="spellStart"/>
            <w:r>
              <w:t>eg</w:t>
            </w:r>
            <w:proofErr w:type="spellEnd"/>
            <w:r>
              <w:t xml:space="preserve"> computers</w:t>
            </w:r>
          </w:p>
        </w:tc>
        <w:tc>
          <w:tcPr>
            <w:tcW w:w="2778" w:type="dxa"/>
          </w:tcPr>
          <w:p w:rsidR="00544E88" w:rsidRPr="000F5470" w:rsidRDefault="00544E88" w:rsidP="00CE2BE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Long courses </w:t>
            </w:r>
            <w:proofErr w:type="spellStart"/>
            <w:r>
              <w:t>eg</w:t>
            </w:r>
            <w:proofErr w:type="spellEnd"/>
            <w:r>
              <w:t xml:space="preserve"> masters and PHD programmes</w:t>
            </w:r>
          </w:p>
        </w:tc>
      </w:tr>
      <w:tr w:rsidR="007E5F9A" w:rsidRPr="000F5470" w:rsidTr="002B0638">
        <w:tc>
          <w:tcPr>
            <w:tcW w:w="1549" w:type="dxa"/>
          </w:tcPr>
          <w:p w:rsidR="007E5F9A" w:rsidRPr="000F5470" w:rsidRDefault="007E5F9A" w:rsidP="007E5F9A">
            <w:r>
              <w:t>Health</w:t>
            </w:r>
          </w:p>
        </w:tc>
        <w:tc>
          <w:tcPr>
            <w:tcW w:w="4915" w:type="dxa"/>
          </w:tcPr>
          <w:p w:rsidR="007E5F9A" w:rsidRPr="00D965DD" w:rsidRDefault="007E5F9A" w:rsidP="00CE2BE7">
            <w:pPr>
              <w:pStyle w:val="ListParagraph"/>
              <w:numPr>
                <w:ilvl w:val="0"/>
                <w:numId w:val="13"/>
              </w:numPr>
            </w:pPr>
            <w:r w:rsidRPr="00D965DD">
              <w:t>Short training courses with direct relevance to function</w:t>
            </w:r>
          </w:p>
          <w:p w:rsidR="007E5F9A" w:rsidRPr="000F5470" w:rsidRDefault="007E5F9A" w:rsidP="00CE2BE7">
            <w:pPr>
              <w:pStyle w:val="ListParagraph"/>
              <w:numPr>
                <w:ilvl w:val="0"/>
                <w:numId w:val="5"/>
              </w:numPr>
            </w:pPr>
            <w:r w:rsidRPr="00D965DD">
              <w:t xml:space="preserve">Continuous professional development  sessions (peer sessions, workshops, facility based sessions </w:t>
            </w:r>
            <w:proofErr w:type="spellStart"/>
            <w:r w:rsidRPr="00D965DD">
              <w:t>etc</w:t>
            </w:r>
            <w:proofErr w:type="spellEnd"/>
            <w:r w:rsidRPr="00D965DD">
              <w:t xml:space="preserve">) </w:t>
            </w:r>
          </w:p>
        </w:tc>
        <w:tc>
          <w:tcPr>
            <w:tcW w:w="2778" w:type="dxa"/>
          </w:tcPr>
          <w:p w:rsidR="007E5F9A" w:rsidRPr="00D965DD" w:rsidRDefault="007E5F9A" w:rsidP="00CE2BE7">
            <w:pPr>
              <w:pStyle w:val="ListParagraph"/>
              <w:numPr>
                <w:ilvl w:val="0"/>
                <w:numId w:val="13"/>
              </w:numPr>
            </w:pPr>
            <w:r w:rsidRPr="00D965DD">
              <w:t>Long Courses e.g. MAs, PhDs</w:t>
            </w:r>
          </w:p>
          <w:p w:rsidR="007E5F9A" w:rsidRPr="000F5470" w:rsidRDefault="007E5F9A" w:rsidP="00CE2BE7">
            <w:pPr>
              <w:pStyle w:val="ListParagraph"/>
              <w:numPr>
                <w:ilvl w:val="0"/>
                <w:numId w:val="13"/>
              </w:numPr>
            </w:pPr>
            <w:r w:rsidRPr="00D965DD">
              <w:t>Courses not related to function</w:t>
            </w:r>
            <w:r>
              <w:t xml:space="preserve">/post of the beneficiary officers </w:t>
            </w:r>
          </w:p>
        </w:tc>
      </w:tr>
      <w:tr w:rsidR="002206D1" w:rsidRPr="000F5470" w:rsidTr="002B0638">
        <w:tc>
          <w:tcPr>
            <w:tcW w:w="1549" w:type="dxa"/>
          </w:tcPr>
          <w:p w:rsidR="002206D1" w:rsidRPr="000F5470" w:rsidRDefault="002206D1" w:rsidP="002206D1">
            <w:r w:rsidRPr="000F5470">
              <w:t>Social Development</w:t>
            </w:r>
          </w:p>
        </w:tc>
        <w:tc>
          <w:tcPr>
            <w:tcW w:w="4915" w:type="dxa"/>
          </w:tcPr>
          <w:p w:rsidR="002206D1" w:rsidRPr="00623E3F" w:rsidRDefault="002206D1" w:rsidP="00CE2BE7">
            <w:pPr>
              <w:pStyle w:val="ListParagraph"/>
              <w:numPr>
                <w:ilvl w:val="0"/>
                <w:numId w:val="11"/>
              </w:numPr>
            </w:pPr>
            <w:r w:rsidRPr="00623E3F">
              <w:t>Service delivery training of CDO’s in: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Proposal writing for income generating activities;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Gender equity and gender sensitive budgeting;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Sign language;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Delivering PWD sensitization workshops;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Enabling communities to identify and address child labour issues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Identifying and addressing the needs of PWDs, OVC’s and other vulnerable groups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The use of theatre for development</w:t>
            </w:r>
          </w:p>
          <w:p w:rsidR="002206D1" w:rsidRPr="00623E3F" w:rsidRDefault="002206D1" w:rsidP="00CE2BE7">
            <w:pPr>
              <w:pStyle w:val="ListParagraph"/>
              <w:numPr>
                <w:ilvl w:val="0"/>
                <w:numId w:val="11"/>
              </w:numPr>
            </w:pPr>
            <w:r w:rsidRPr="00623E3F">
              <w:t xml:space="preserve">Administrative training of CDO’s in 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The application of sector guidelines;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lastRenderedPageBreak/>
              <w:t>Data collection, analysis and reporting;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Understanding and disseminating information packages from other sectors</w:t>
            </w:r>
            <w:r w:rsidRPr="00623E3F">
              <w:rPr>
                <w:rStyle w:val="FootnoteReference"/>
              </w:rPr>
              <w:footnoteReference w:id="5"/>
            </w:r>
            <w:r w:rsidRPr="00623E3F">
              <w:t xml:space="preserve">;  </w:t>
            </w:r>
          </w:p>
          <w:p w:rsidR="002206D1" w:rsidRPr="00623E3F" w:rsidRDefault="002206D1" w:rsidP="00CE2BE7">
            <w:pPr>
              <w:pStyle w:val="ListParagraph"/>
              <w:numPr>
                <w:ilvl w:val="0"/>
                <w:numId w:val="11"/>
              </w:numPr>
            </w:pPr>
            <w:r w:rsidRPr="00623E3F">
              <w:t>Training of DCDO’s in: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Identifying and addressing illegal / controversial labour matters / disputes</w:t>
            </w:r>
          </w:p>
          <w:p w:rsidR="002206D1" w:rsidRPr="00623E3F" w:rsidRDefault="002206D1" w:rsidP="00CE2BE7">
            <w:pPr>
              <w:pStyle w:val="ListParagraph"/>
              <w:numPr>
                <w:ilvl w:val="0"/>
                <w:numId w:val="11"/>
              </w:numPr>
            </w:pPr>
            <w:r w:rsidRPr="00623E3F">
              <w:t>Training of FAL instructors</w:t>
            </w:r>
          </w:p>
          <w:p w:rsidR="002206D1" w:rsidRPr="000F5470" w:rsidRDefault="002206D1" w:rsidP="00CE2BE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2778" w:type="dxa"/>
          </w:tcPr>
          <w:p w:rsidR="002206D1" w:rsidRPr="00623E3F" w:rsidRDefault="002206D1" w:rsidP="00CE2BE7">
            <w:pPr>
              <w:pStyle w:val="ListParagraph"/>
              <w:numPr>
                <w:ilvl w:val="0"/>
                <w:numId w:val="11"/>
              </w:numPr>
            </w:pPr>
            <w:r w:rsidRPr="00623E3F">
              <w:lastRenderedPageBreak/>
              <w:t>Training of CDO’s in :</w:t>
            </w:r>
          </w:p>
          <w:p w:rsidR="002206D1" w:rsidRPr="00623E3F" w:rsidRDefault="002206D1" w:rsidP="00CE2BE7">
            <w:pPr>
              <w:pStyle w:val="ListParagraph"/>
              <w:numPr>
                <w:ilvl w:val="1"/>
                <w:numId w:val="11"/>
              </w:numPr>
            </w:pPr>
            <w:r w:rsidRPr="00623E3F">
              <w:t>New disciplines which are outside the scope of their responsibilities and duties</w:t>
            </w:r>
          </w:p>
          <w:p w:rsidR="002206D1" w:rsidRPr="000F5470" w:rsidRDefault="002206D1" w:rsidP="00CE2BE7">
            <w:pPr>
              <w:pStyle w:val="ListParagraph"/>
              <w:numPr>
                <w:ilvl w:val="0"/>
                <w:numId w:val="6"/>
              </w:numPr>
              <w:jc w:val="both"/>
            </w:pPr>
            <w:r w:rsidRPr="00623E3F">
              <w:t xml:space="preserve">Courses that are more than </w:t>
            </w:r>
            <w:r>
              <w:t>9</w:t>
            </w:r>
            <w:r w:rsidRPr="00623E3F">
              <w:t xml:space="preserve"> </w:t>
            </w:r>
            <w:r>
              <w:t>months</w:t>
            </w:r>
            <w:r w:rsidRPr="00623E3F">
              <w:t xml:space="preserve"> in duration</w:t>
            </w:r>
          </w:p>
        </w:tc>
      </w:tr>
      <w:tr w:rsidR="002206D1" w:rsidRPr="000F5470" w:rsidTr="002B0638">
        <w:tc>
          <w:tcPr>
            <w:tcW w:w="1549" w:type="dxa"/>
          </w:tcPr>
          <w:p w:rsidR="002206D1" w:rsidRPr="000F5470" w:rsidRDefault="002206D1" w:rsidP="002206D1">
            <w:r>
              <w:lastRenderedPageBreak/>
              <w:t>Administration</w:t>
            </w:r>
          </w:p>
        </w:tc>
        <w:tc>
          <w:tcPr>
            <w:tcW w:w="4915" w:type="dxa"/>
          </w:tcPr>
          <w:p w:rsidR="002206D1" w:rsidRDefault="002206D1" w:rsidP="00CE2BE7">
            <w:pPr>
              <w:pStyle w:val="ListParagraph"/>
              <w:numPr>
                <w:ilvl w:val="0"/>
                <w:numId w:val="11"/>
              </w:numPr>
            </w:pPr>
            <w:r>
              <w:t xml:space="preserve">Short training courses </w:t>
            </w:r>
          </w:p>
          <w:p w:rsidR="002206D1" w:rsidRDefault="002206D1" w:rsidP="00CE2BE7">
            <w:pPr>
              <w:pStyle w:val="ListParagraph"/>
              <w:numPr>
                <w:ilvl w:val="1"/>
                <w:numId w:val="11"/>
              </w:numPr>
            </w:pPr>
            <w:r>
              <w:t>based on established curricula</w:t>
            </w:r>
          </w:p>
          <w:p w:rsidR="002206D1" w:rsidRDefault="002206D1" w:rsidP="00CE2BE7">
            <w:pPr>
              <w:pStyle w:val="ListParagraph"/>
              <w:numPr>
                <w:ilvl w:val="0"/>
                <w:numId w:val="11"/>
              </w:numPr>
            </w:pPr>
            <w:r>
              <w:t xml:space="preserve">Career development </w:t>
            </w:r>
            <w:r w:rsidRPr="00A757E7">
              <w:t>for areas that are a requirement for confirmation or promotion</w:t>
            </w:r>
            <w:r>
              <w:t xml:space="preserve"> (max 20%)</w:t>
            </w:r>
          </w:p>
          <w:p w:rsidR="002206D1" w:rsidRDefault="002206D1" w:rsidP="00CE2BE7">
            <w:pPr>
              <w:pStyle w:val="ListParagraph"/>
              <w:numPr>
                <w:ilvl w:val="1"/>
                <w:numId w:val="11"/>
              </w:numPr>
            </w:pPr>
            <w:r>
              <w:t>Professional qualifications (e.g. accounting, procurement)</w:t>
            </w:r>
          </w:p>
          <w:p w:rsidR="002206D1" w:rsidRPr="000F5470" w:rsidRDefault="002206D1" w:rsidP="00CE2BE7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Masters via correspondence or local courses</w:t>
            </w:r>
          </w:p>
        </w:tc>
        <w:tc>
          <w:tcPr>
            <w:tcW w:w="2778" w:type="dxa"/>
          </w:tcPr>
          <w:p w:rsidR="002206D1" w:rsidRDefault="002206D1" w:rsidP="00CE2BE7">
            <w:pPr>
              <w:pStyle w:val="ListParagraph"/>
              <w:numPr>
                <w:ilvl w:val="0"/>
                <w:numId w:val="11"/>
              </w:numPr>
            </w:pPr>
            <w:r>
              <w:t xml:space="preserve">Undergraduate qualifications (degrees, diplomas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2206D1" w:rsidRDefault="002206D1" w:rsidP="00CE2BE7">
            <w:pPr>
              <w:pStyle w:val="ListParagraph"/>
              <w:numPr>
                <w:ilvl w:val="0"/>
                <w:numId w:val="11"/>
              </w:numPr>
            </w:pPr>
            <w:r>
              <w:t>PHD’s</w:t>
            </w:r>
          </w:p>
          <w:p w:rsidR="002206D1" w:rsidRPr="000F5470" w:rsidRDefault="002206D1" w:rsidP="000311A1">
            <w:pPr>
              <w:pStyle w:val="ListParagraph"/>
              <w:ind w:left="360"/>
              <w:jc w:val="both"/>
            </w:pPr>
          </w:p>
        </w:tc>
      </w:tr>
    </w:tbl>
    <w:p w:rsidR="007A70DF" w:rsidRPr="00DC729C" w:rsidRDefault="007A70DF" w:rsidP="00DC729C">
      <w:pPr>
        <w:rPr>
          <w:lang w:val="en-US"/>
        </w:rPr>
      </w:pPr>
      <w:bookmarkStart w:id="2" w:name="_GoBack"/>
      <w:bookmarkEnd w:id="2"/>
    </w:p>
    <w:sectPr w:rsidR="007A70DF" w:rsidRPr="00DC7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2F" w:rsidRDefault="00104C2F" w:rsidP="00DC3767">
      <w:pPr>
        <w:spacing w:after="0" w:line="240" w:lineRule="auto"/>
      </w:pPr>
      <w:r>
        <w:separator/>
      </w:r>
    </w:p>
  </w:endnote>
  <w:endnote w:type="continuationSeparator" w:id="0">
    <w:p w:rsidR="00104C2F" w:rsidRDefault="00104C2F" w:rsidP="00DC3767">
      <w:pPr>
        <w:spacing w:after="0" w:line="240" w:lineRule="auto"/>
      </w:pPr>
      <w:r>
        <w:continuationSeparator/>
      </w:r>
    </w:p>
  </w:endnote>
  <w:endnote w:type="continuationNotice" w:id="1">
    <w:p w:rsidR="00104C2F" w:rsidRDefault="00104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4F" w:rsidRDefault="00C45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45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B4F" w:rsidRDefault="00C45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3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45B4F" w:rsidRDefault="00C45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4F" w:rsidRDefault="00C45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2F" w:rsidRDefault="00104C2F" w:rsidP="00DC3767">
      <w:pPr>
        <w:spacing w:after="0" w:line="240" w:lineRule="auto"/>
      </w:pPr>
      <w:r>
        <w:separator/>
      </w:r>
    </w:p>
  </w:footnote>
  <w:footnote w:type="continuationSeparator" w:id="0">
    <w:p w:rsidR="00104C2F" w:rsidRDefault="00104C2F" w:rsidP="00DC3767">
      <w:pPr>
        <w:spacing w:after="0" w:line="240" w:lineRule="auto"/>
      </w:pPr>
      <w:r>
        <w:continuationSeparator/>
      </w:r>
    </w:p>
  </w:footnote>
  <w:footnote w:type="continuationNotice" w:id="1">
    <w:p w:rsidR="00104C2F" w:rsidRDefault="00104C2F">
      <w:pPr>
        <w:spacing w:after="0" w:line="240" w:lineRule="auto"/>
      </w:pPr>
    </w:p>
  </w:footnote>
  <w:footnote w:id="2">
    <w:p w:rsidR="00C45B4F" w:rsidRDefault="00C45B4F" w:rsidP="006756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conflict variable is calculated as follows: (</w:t>
      </w:r>
      <w:proofErr w:type="spellStart"/>
      <w:r>
        <w:t>i</w:t>
      </w:r>
      <w:proofErr w:type="spellEnd"/>
      <w:r>
        <w:t xml:space="preserve">) 60 points to category 1 districts (severely conflict or cattle-rustling affected); (ii) 30 points to category 2 districts (sporadically conflict and/or cattle-rustling affected); (iii) 10 points to category 3 districts (conflict spill-overs); and (iv) 0 points to districts without immediate conflict impact in the last 35 years. The </w:t>
      </w:r>
      <w:proofErr w:type="spellStart"/>
      <w:r>
        <w:t>MoLG</w:t>
      </w:r>
      <w:proofErr w:type="spellEnd"/>
      <w:r>
        <w:t>, OPM and LGFC will develop the criteria and determine the districts that follow with in the respective categories.</w:t>
      </w:r>
    </w:p>
  </w:footnote>
  <w:footnote w:id="3">
    <w:p w:rsidR="00C45B4F" w:rsidRPr="003F3CD0" w:rsidRDefault="00C45B4F" w:rsidP="009E24D9">
      <w:pPr>
        <w:pStyle w:val="FootnoteText"/>
        <w:rPr>
          <w:lang w:val="en-US"/>
        </w:rPr>
      </w:pPr>
    </w:p>
  </w:footnote>
  <w:footnote w:id="4">
    <w:p w:rsidR="00C45B4F" w:rsidRPr="005C60B3" w:rsidRDefault="00C45B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indicative positive and negative lists for the DDEG will be finalized with inputs from the sector grant and budget information papers.</w:t>
      </w:r>
    </w:p>
  </w:footnote>
  <w:footnote w:id="5">
    <w:p w:rsidR="00C45B4F" w:rsidRDefault="00C45B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e.g</w:t>
      </w:r>
      <w:proofErr w:type="gramEnd"/>
      <w:r>
        <w:t>. on nutrition, sanitation, food security, conflict management and resolution, and family planning.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4F" w:rsidRDefault="00C45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4F" w:rsidRDefault="00C45B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4F" w:rsidRDefault="00C45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4AC"/>
    <w:multiLevelType w:val="hybridMultilevel"/>
    <w:tmpl w:val="7BCCB0D0"/>
    <w:lvl w:ilvl="0" w:tplc="E7BE26B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6AA"/>
    <w:multiLevelType w:val="hybridMultilevel"/>
    <w:tmpl w:val="8EA86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76335"/>
    <w:multiLevelType w:val="hybridMultilevel"/>
    <w:tmpl w:val="4BD0E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D01F9"/>
    <w:multiLevelType w:val="hybridMultilevel"/>
    <w:tmpl w:val="2ECA73C2"/>
    <w:lvl w:ilvl="0" w:tplc="856E68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857A8"/>
    <w:multiLevelType w:val="hybridMultilevel"/>
    <w:tmpl w:val="08249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D1BD7"/>
    <w:multiLevelType w:val="hybridMultilevel"/>
    <w:tmpl w:val="674E8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3317D"/>
    <w:multiLevelType w:val="hybridMultilevel"/>
    <w:tmpl w:val="89A4EE0A"/>
    <w:lvl w:ilvl="0" w:tplc="DC6A54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D727C"/>
    <w:multiLevelType w:val="hybridMultilevel"/>
    <w:tmpl w:val="673E2DCE"/>
    <w:lvl w:ilvl="0" w:tplc="DC6A54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835FE"/>
    <w:multiLevelType w:val="hybridMultilevel"/>
    <w:tmpl w:val="B81EE238"/>
    <w:lvl w:ilvl="0" w:tplc="C8C4C0A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9874008"/>
    <w:multiLevelType w:val="hybridMultilevel"/>
    <w:tmpl w:val="65C4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960D6"/>
    <w:multiLevelType w:val="hybridMultilevel"/>
    <w:tmpl w:val="A5ECF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682D3F"/>
    <w:multiLevelType w:val="hybridMultilevel"/>
    <w:tmpl w:val="CC5A1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32513"/>
    <w:multiLevelType w:val="hybridMultilevel"/>
    <w:tmpl w:val="F2009C24"/>
    <w:lvl w:ilvl="0" w:tplc="888AC07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5126B"/>
    <w:multiLevelType w:val="hybridMultilevel"/>
    <w:tmpl w:val="339EC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A3965"/>
    <w:multiLevelType w:val="hybridMultilevel"/>
    <w:tmpl w:val="3942EF12"/>
    <w:lvl w:ilvl="0" w:tplc="DC6A54E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E5697"/>
    <w:multiLevelType w:val="multilevel"/>
    <w:tmpl w:val="6854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2690F6B"/>
    <w:multiLevelType w:val="hybridMultilevel"/>
    <w:tmpl w:val="5F0E308C"/>
    <w:lvl w:ilvl="0" w:tplc="DC6A54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0F0560"/>
    <w:multiLevelType w:val="hybridMultilevel"/>
    <w:tmpl w:val="2AEAA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16"/>
  </w:num>
  <w:num w:numId="8">
    <w:abstractNumId w:val="17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19"/>
    <w:rsid w:val="00000227"/>
    <w:rsid w:val="000067D3"/>
    <w:rsid w:val="0001392C"/>
    <w:rsid w:val="00016CFF"/>
    <w:rsid w:val="000311A1"/>
    <w:rsid w:val="00040D56"/>
    <w:rsid w:val="00041CF6"/>
    <w:rsid w:val="0004273B"/>
    <w:rsid w:val="0004382D"/>
    <w:rsid w:val="000457B2"/>
    <w:rsid w:val="00045F12"/>
    <w:rsid w:val="00047F58"/>
    <w:rsid w:val="00055CE8"/>
    <w:rsid w:val="00061CB4"/>
    <w:rsid w:val="000647EB"/>
    <w:rsid w:val="000728DB"/>
    <w:rsid w:val="00073216"/>
    <w:rsid w:val="00080CCC"/>
    <w:rsid w:val="00081F5D"/>
    <w:rsid w:val="0008239E"/>
    <w:rsid w:val="000A19FA"/>
    <w:rsid w:val="000A7D61"/>
    <w:rsid w:val="000B5732"/>
    <w:rsid w:val="000C1C3A"/>
    <w:rsid w:val="000C2D4B"/>
    <w:rsid w:val="000C43F9"/>
    <w:rsid w:val="000C6C24"/>
    <w:rsid w:val="000D1E14"/>
    <w:rsid w:val="000D5A71"/>
    <w:rsid w:val="000E4581"/>
    <w:rsid w:val="000F5470"/>
    <w:rsid w:val="00104C2F"/>
    <w:rsid w:val="00114627"/>
    <w:rsid w:val="0011733F"/>
    <w:rsid w:val="00125947"/>
    <w:rsid w:val="00131FA2"/>
    <w:rsid w:val="0013218C"/>
    <w:rsid w:val="00132F9C"/>
    <w:rsid w:val="00156A96"/>
    <w:rsid w:val="00160957"/>
    <w:rsid w:val="001646B2"/>
    <w:rsid w:val="00164EAB"/>
    <w:rsid w:val="00166AEC"/>
    <w:rsid w:val="0017658C"/>
    <w:rsid w:val="001845DD"/>
    <w:rsid w:val="00184781"/>
    <w:rsid w:val="00187945"/>
    <w:rsid w:val="00193442"/>
    <w:rsid w:val="001A4BCC"/>
    <w:rsid w:val="001C245F"/>
    <w:rsid w:val="001C2E90"/>
    <w:rsid w:val="001F0450"/>
    <w:rsid w:val="0020638B"/>
    <w:rsid w:val="0021336A"/>
    <w:rsid w:val="002206D1"/>
    <w:rsid w:val="00230A85"/>
    <w:rsid w:val="00242CE8"/>
    <w:rsid w:val="002459C2"/>
    <w:rsid w:val="00252ABB"/>
    <w:rsid w:val="002554AE"/>
    <w:rsid w:val="00262471"/>
    <w:rsid w:val="002647BB"/>
    <w:rsid w:val="00264BF3"/>
    <w:rsid w:val="00265E37"/>
    <w:rsid w:val="00276BD9"/>
    <w:rsid w:val="00284587"/>
    <w:rsid w:val="0029794B"/>
    <w:rsid w:val="002A08BA"/>
    <w:rsid w:val="002A61D4"/>
    <w:rsid w:val="002B0638"/>
    <w:rsid w:val="002B19E6"/>
    <w:rsid w:val="002B7B2A"/>
    <w:rsid w:val="002C23BD"/>
    <w:rsid w:val="002D2E72"/>
    <w:rsid w:val="002D4CE7"/>
    <w:rsid w:val="002D4E0C"/>
    <w:rsid w:val="002D513E"/>
    <w:rsid w:val="002E2D00"/>
    <w:rsid w:val="002E40ED"/>
    <w:rsid w:val="0031127D"/>
    <w:rsid w:val="003117DD"/>
    <w:rsid w:val="00314FD1"/>
    <w:rsid w:val="00330E23"/>
    <w:rsid w:val="00332888"/>
    <w:rsid w:val="00332B4E"/>
    <w:rsid w:val="00336A75"/>
    <w:rsid w:val="0034082C"/>
    <w:rsid w:val="00345C79"/>
    <w:rsid w:val="0036618A"/>
    <w:rsid w:val="00373238"/>
    <w:rsid w:val="00377745"/>
    <w:rsid w:val="00383D5F"/>
    <w:rsid w:val="0038742A"/>
    <w:rsid w:val="0038795C"/>
    <w:rsid w:val="00387F52"/>
    <w:rsid w:val="003A301D"/>
    <w:rsid w:val="003B3122"/>
    <w:rsid w:val="003B3C59"/>
    <w:rsid w:val="003C6B8D"/>
    <w:rsid w:val="003D0FD5"/>
    <w:rsid w:val="003E2EA4"/>
    <w:rsid w:val="003F3CD0"/>
    <w:rsid w:val="004149A8"/>
    <w:rsid w:val="00417032"/>
    <w:rsid w:val="004304AA"/>
    <w:rsid w:val="004306F2"/>
    <w:rsid w:val="00431942"/>
    <w:rsid w:val="004365E1"/>
    <w:rsid w:val="00453083"/>
    <w:rsid w:val="00457DFB"/>
    <w:rsid w:val="00463925"/>
    <w:rsid w:val="0047241D"/>
    <w:rsid w:val="00482FAE"/>
    <w:rsid w:val="0048448E"/>
    <w:rsid w:val="004848A8"/>
    <w:rsid w:val="00493B90"/>
    <w:rsid w:val="00494E93"/>
    <w:rsid w:val="004A4389"/>
    <w:rsid w:val="004A5D8D"/>
    <w:rsid w:val="004A737E"/>
    <w:rsid w:val="004B0F38"/>
    <w:rsid w:val="004B4F76"/>
    <w:rsid w:val="004D4E2F"/>
    <w:rsid w:val="004E0963"/>
    <w:rsid w:val="004F431E"/>
    <w:rsid w:val="00500494"/>
    <w:rsid w:val="0050546A"/>
    <w:rsid w:val="00505C61"/>
    <w:rsid w:val="00532E94"/>
    <w:rsid w:val="00544E88"/>
    <w:rsid w:val="00544E91"/>
    <w:rsid w:val="00553AE7"/>
    <w:rsid w:val="00562DD6"/>
    <w:rsid w:val="00577202"/>
    <w:rsid w:val="00580DE7"/>
    <w:rsid w:val="00585086"/>
    <w:rsid w:val="00591A20"/>
    <w:rsid w:val="005963B3"/>
    <w:rsid w:val="005A04D4"/>
    <w:rsid w:val="005A1E70"/>
    <w:rsid w:val="005A7EC6"/>
    <w:rsid w:val="005B5590"/>
    <w:rsid w:val="005C00D7"/>
    <w:rsid w:val="005C08FA"/>
    <w:rsid w:val="005C4AE7"/>
    <w:rsid w:val="005C60B3"/>
    <w:rsid w:val="005C765C"/>
    <w:rsid w:val="005D02AF"/>
    <w:rsid w:val="005D0F79"/>
    <w:rsid w:val="005E3451"/>
    <w:rsid w:val="005E4A0E"/>
    <w:rsid w:val="005F62BF"/>
    <w:rsid w:val="005F7A6D"/>
    <w:rsid w:val="00603B6D"/>
    <w:rsid w:val="00611024"/>
    <w:rsid w:val="00611297"/>
    <w:rsid w:val="00612373"/>
    <w:rsid w:val="0061404C"/>
    <w:rsid w:val="00615976"/>
    <w:rsid w:val="00620001"/>
    <w:rsid w:val="0063245C"/>
    <w:rsid w:val="00644839"/>
    <w:rsid w:val="00650545"/>
    <w:rsid w:val="00653E91"/>
    <w:rsid w:val="006623DC"/>
    <w:rsid w:val="006625F9"/>
    <w:rsid w:val="00665EF4"/>
    <w:rsid w:val="00670B0A"/>
    <w:rsid w:val="0067115E"/>
    <w:rsid w:val="006745F4"/>
    <w:rsid w:val="006756F2"/>
    <w:rsid w:val="0068423E"/>
    <w:rsid w:val="00685174"/>
    <w:rsid w:val="006915EE"/>
    <w:rsid w:val="006A0123"/>
    <w:rsid w:val="006C4856"/>
    <w:rsid w:val="006C50CA"/>
    <w:rsid w:val="006D2BD0"/>
    <w:rsid w:val="006E0E0B"/>
    <w:rsid w:val="006E2499"/>
    <w:rsid w:val="006E371A"/>
    <w:rsid w:val="006E4B0D"/>
    <w:rsid w:val="00701E87"/>
    <w:rsid w:val="00701F60"/>
    <w:rsid w:val="007021B2"/>
    <w:rsid w:val="00702D04"/>
    <w:rsid w:val="0071227A"/>
    <w:rsid w:val="00726FE2"/>
    <w:rsid w:val="0073662D"/>
    <w:rsid w:val="0073666C"/>
    <w:rsid w:val="0073728F"/>
    <w:rsid w:val="007607BB"/>
    <w:rsid w:val="0076562F"/>
    <w:rsid w:val="00773C7F"/>
    <w:rsid w:val="0078442A"/>
    <w:rsid w:val="007901F4"/>
    <w:rsid w:val="007931E9"/>
    <w:rsid w:val="007979EC"/>
    <w:rsid w:val="007A6DB7"/>
    <w:rsid w:val="007A70DF"/>
    <w:rsid w:val="007B42D9"/>
    <w:rsid w:val="007C0751"/>
    <w:rsid w:val="007C6899"/>
    <w:rsid w:val="007E0C18"/>
    <w:rsid w:val="007E1F59"/>
    <w:rsid w:val="007E55A3"/>
    <w:rsid w:val="007E5F9A"/>
    <w:rsid w:val="007E6485"/>
    <w:rsid w:val="007F0D4D"/>
    <w:rsid w:val="007F0EEE"/>
    <w:rsid w:val="007F49CA"/>
    <w:rsid w:val="00813492"/>
    <w:rsid w:val="008134D1"/>
    <w:rsid w:val="00815414"/>
    <w:rsid w:val="00837B18"/>
    <w:rsid w:val="00841CC0"/>
    <w:rsid w:val="00844A4C"/>
    <w:rsid w:val="00847949"/>
    <w:rsid w:val="008578AA"/>
    <w:rsid w:val="00861DD8"/>
    <w:rsid w:val="008634B6"/>
    <w:rsid w:val="00875EE2"/>
    <w:rsid w:val="00884620"/>
    <w:rsid w:val="00891214"/>
    <w:rsid w:val="008919DE"/>
    <w:rsid w:val="008964A2"/>
    <w:rsid w:val="00896E8B"/>
    <w:rsid w:val="008C640F"/>
    <w:rsid w:val="008C7355"/>
    <w:rsid w:val="008C7B46"/>
    <w:rsid w:val="008D09F3"/>
    <w:rsid w:val="008D5DB5"/>
    <w:rsid w:val="009003BE"/>
    <w:rsid w:val="009025A0"/>
    <w:rsid w:val="009030E1"/>
    <w:rsid w:val="0091047B"/>
    <w:rsid w:val="00910699"/>
    <w:rsid w:val="0091359A"/>
    <w:rsid w:val="00923C7F"/>
    <w:rsid w:val="00943D96"/>
    <w:rsid w:val="009458F3"/>
    <w:rsid w:val="00953EF8"/>
    <w:rsid w:val="0098006B"/>
    <w:rsid w:val="0098769E"/>
    <w:rsid w:val="00994AFA"/>
    <w:rsid w:val="0099561B"/>
    <w:rsid w:val="00995D3D"/>
    <w:rsid w:val="00996BAD"/>
    <w:rsid w:val="00997FE6"/>
    <w:rsid w:val="009A3375"/>
    <w:rsid w:val="009A3AC9"/>
    <w:rsid w:val="009A682A"/>
    <w:rsid w:val="009C1B6D"/>
    <w:rsid w:val="009D41BA"/>
    <w:rsid w:val="009D49BA"/>
    <w:rsid w:val="009E1950"/>
    <w:rsid w:val="009E24D9"/>
    <w:rsid w:val="009E4055"/>
    <w:rsid w:val="009E4813"/>
    <w:rsid w:val="009F32DF"/>
    <w:rsid w:val="00A13F7C"/>
    <w:rsid w:val="00A228FE"/>
    <w:rsid w:val="00A237BB"/>
    <w:rsid w:val="00A23EA3"/>
    <w:rsid w:val="00A3113E"/>
    <w:rsid w:val="00A31A67"/>
    <w:rsid w:val="00A4206A"/>
    <w:rsid w:val="00A42539"/>
    <w:rsid w:val="00A52F8D"/>
    <w:rsid w:val="00A53BDC"/>
    <w:rsid w:val="00A5565A"/>
    <w:rsid w:val="00A609D1"/>
    <w:rsid w:val="00A65562"/>
    <w:rsid w:val="00A6796B"/>
    <w:rsid w:val="00A74C07"/>
    <w:rsid w:val="00A755B4"/>
    <w:rsid w:val="00A757E7"/>
    <w:rsid w:val="00A80393"/>
    <w:rsid w:val="00A93F7C"/>
    <w:rsid w:val="00A978EC"/>
    <w:rsid w:val="00A97C32"/>
    <w:rsid w:val="00AB0D64"/>
    <w:rsid w:val="00AD22DC"/>
    <w:rsid w:val="00AD2426"/>
    <w:rsid w:val="00AD5B87"/>
    <w:rsid w:val="00AD7896"/>
    <w:rsid w:val="00AF23BA"/>
    <w:rsid w:val="00AF3A90"/>
    <w:rsid w:val="00B1657C"/>
    <w:rsid w:val="00B20A19"/>
    <w:rsid w:val="00B22536"/>
    <w:rsid w:val="00B22556"/>
    <w:rsid w:val="00B251F6"/>
    <w:rsid w:val="00B25350"/>
    <w:rsid w:val="00B26D8F"/>
    <w:rsid w:val="00B345A8"/>
    <w:rsid w:val="00B362CC"/>
    <w:rsid w:val="00B443CB"/>
    <w:rsid w:val="00B44CEA"/>
    <w:rsid w:val="00B45844"/>
    <w:rsid w:val="00B46C2E"/>
    <w:rsid w:val="00B47DB1"/>
    <w:rsid w:val="00B5100F"/>
    <w:rsid w:val="00B66F43"/>
    <w:rsid w:val="00B67C8C"/>
    <w:rsid w:val="00B710F4"/>
    <w:rsid w:val="00B8184F"/>
    <w:rsid w:val="00B81AC6"/>
    <w:rsid w:val="00B91203"/>
    <w:rsid w:val="00B92093"/>
    <w:rsid w:val="00B9296E"/>
    <w:rsid w:val="00B94220"/>
    <w:rsid w:val="00BA6B44"/>
    <w:rsid w:val="00BA6BF1"/>
    <w:rsid w:val="00BB0909"/>
    <w:rsid w:val="00BB0F4D"/>
    <w:rsid w:val="00BB42E7"/>
    <w:rsid w:val="00BB5E2F"/>
    <w:rsid w:val="00BB72F3"/>
    <w:rsid w:val="00BC32ED"/>
    <w:rsid w:val="00BC6319"/>
    <w:rsid w:val="00BD7181"/>
    <w:rsid w:val="00BE1676"/>
    <w:rsid w:val="00BF1EAB"/>
    <w:rsid w:val="00BF4453"/>
    <w:rsid w:val="00BF7248"/>
    <w:rsid w:val="00C019CA"/>
    <w:rsid w:val="00C04485"/>
    <w:rsid w:val="00C05542"/>
    <w:rsid w:val="00C13A1D"/>
    <w:rsid w:val="00C22B27"/>
    <w:rsid w:val="00C25318"/>
    <w:rsid w:val="00C254B7"/>
    <w:rsid w:val="00C25BB2"/>
    <w:rsid w:val="00C27598"/>
    <w:rsid w:val="00C33BF7"/>
    <w:rsid w:val="00C41C05"/>
    <w:rsid w:val="00C45B4F"/>
    <w:rsid w:val="00C500BF"/>
    <w:rsid w:val="00C51EB7"/>
    <w:rsid w:val="00C5355E"/>
    <w:rsid w:val="00C56422"/>
    <w:rsid w:val="00C62C7F"/>
    <w:rsid w:val="00C7337F"/>
    <w:rsid w:val="00C83DF4"/>
    <w:rsid w:val="00C85CED"/>
    <w:rsid w:val="00C86192"/>
    <w:rsid w:val="00C90AB4"/>
    <w:rsid w:val="00C91D95"/>
    <w:rsid w:val="00C95F46"/>
    <w:rsid w:val="00CA39A8"/>
    <w:rsid w:val="00CA74FD"/>
    <w:rsid w:val="00CB3496"/>
    <w:rsid w:val="00CC4DB2"/>
    <w:rsid w:val="00CD4E66"/>
    <w:rsid w:val="00CE2BE7"/>
    <w:rsid w:val="00CE5ABF"/>
    <w:rsid w:val="00CF14B8"/>
    <w:rsid w:val="00D02857"/>
    <w:rsid w:val="00D0591A"/>
    <w:rsid w:val="00D23362"/>
    <w:rsid w:val="00D276E5"/>
    <w:rsid w:val="00D43278"/>
    <w:rsid w:val="00D44DA7"/>
    <w:rsid w:val="00D512A8"/>
    <w:rsid w:val="00D53DD5"/>
    <w:rsid w:val="00D72485"/>
    <w:rsid w:val="00D73F77"/>
    <w:rsid w:val="00D844AA"/>
    <w:rsid w:val="00D913BF"/>
    <w:rsid w:val="00D943CE"/>
    <w:rsid w:val="00DA1B5C"/>
    <w:rsid w:val="00DC1A21"/>
    <w:rsid w:val="00DC3767"/>
    <w:rsid w:val="00DC729C"/>
    <w:rsid w:val="00DD1183"/>
    <w:rsid w:val="00DD69A7"/>
    <w:rsid w:val="00DD6B03"/>
    <w:rsid w:val="00E00B6A"/>
    <w:rsid w:val="00E03AF9"/>
    <w:rsid w:val="00E207D2"/>
    <w:rsid w:val="00E42B9C"/>
    <w:rsid w:val="00E54B94"/>
    <w:rsid w:val="00E55167"/>
    <w:rsid w:val="00E61561"/>
    <w:rsid w:val="00E82BB4"/>
    <w:rsid w:val="00EA0304"/>
    <w:rsid w:val="00EC0679"/>
    <w:rsid w:val="00EC1E5B"/>
    <w:rsid w:val="00EC4DE3"/>
    <w:rsid w:val="00EC5C50"/>
    <w:rsid w:val="00ED049A"/>
    <w:rsid w:val="00ED1C6F"/>
    <w:rsid w:val="00EE1C5E"/>
    <w:rsid w:val="00EE2190"/>
    <w:rsid w:val="00EE2CE7"/>
    <w:rsid w:val="00EE385F"/>
    <w:rsid w:val="00EE4861"/>
    <w:rsid w:val="00EF1E8E"/>
    <w:rsid w:val="00EF29D2"/>
    <w:rsid w:val="00F0171F"/>
    <w:rsid w:val="00F11A59"/>
    <w:rsid w:val="00F14D80"/>
    <w:rsid w:val="00F162A4"/>
    <w:rsid w:val="00F20D1F"/>
    <w:rsid w:val="00F256B0"/>
    <w:rsid w:val="00F61752"/>
    <w:rsid w:val="00F731C7"/>
    <w:rsid w:val="00F74CF8"/>
    <w:rsid w:val="00F76E46"/>
    <w:rsid w:val="00F82E42"/>
    <w:rsid w:val="00F9052C"/>
    <w:rsid w:val="00F90D8D"/>
    <w:rsid w:val="00F94068"/>
    <w:rsid w:val="00F95A49"/>
    <w:rsid w:val="00FA458D"/>
    <w:rsid w:val="00FB280E"/>
    <w:rsid w:val="00FB599D"/>
    <w:rsid w:val="00FB7C2C"/>
    <w:rsid w:val="00FC5653"/>
    <w:rsid w:val="00FD6132"/>
    <w:rsid w:val="00FE45E2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7D569"/>
  <w15:docId w15:val="{06FB21FC-2F78-4AEF-A269-F990882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499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1E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6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49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59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67"/>
  </w:style>
  <w:style w:type="paragraph" w:styleId="Footer">
    <w:name w:val="footer"/>
    <w:basedOn w:val="Normal"/>
    <w:link w:val="FooterChar"/>
    <w:uiPriority w:val="99"/>
    <w:unhideWhenUsed/>
    <w:rsid w:val="00DC3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67"/>
  </w:style>
  <w:style w:type="paragraph" w:styleId="NoSpacing">
    <w:name w:val="No Spacing"/>
    <w:uiPriority w:val="1"/>
    <w:qFormat/>
    <w:rsid w:val="006112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A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E24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List Paragraph (numbered (a)),List Paragraph1,Ha"/>
    <w:basedOn w:val="Normal"/>
    <w:link w:val="ListParagraphChar"/>
    <w:uiPriority w:val="34"/>
    <w:qFormat/>
    <w:rsid w:val="006623DC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D0FD5"/>
    <w:pPr>
      <w:spacing w:after="12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D0FD5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1 Char,Ha Char"/>
    <w:basedOn w:val="DefaultParagraphFont"/>
    <w:link w:val="ListParagraph"/>
    <w:uiPriority w:val="34"/>
    <w:locked/>
    <w:rsid w:val="003D0FD5"/>
  </w:style>
  <w:style w:type="paragraph" w:customStyle="1" w:styleId="Ingenafstand">
    <w:name w:val="Ingen afstand"/>
    <w:basedOn w:val="Normal"/>
    <w:link w:val="IngenafstandTegn"/>
    <w:uiPriority w:val="1"/>
    <w:qFormat/>
    <w:rsid w:val="00562DD6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IngenafstandTegn">
    <w:name w:val="Ingen afstand Tegn"/>
    <w:basedOn w:val="DefaultParagraphFont"/>
    <w:link w:val="Ingenafstand"/>
    <w:uiPriority w:val="1"/>
    <w:locked/>
    <w:rsid w:val="00562DD6"/>
    <w:rPr>
      <w:rFonts w:ascii="Cambria" w:eastAsia="Times New Roman" w:hAnsi="Cambria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1E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3F3C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3C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F3CD0"/>
    <w:rPr>
      <w:vertAlign w:val="superscript"/>
    </w:rPr>
  </w:style>
  <w:style w:type="paragraph" w:styleId="Revision">
    <w:name w:val="Revision"/>
    <w:hidden/>
    <w:uiPriority w:val="99"/>
    <w:semiHidden/>
    <w:rsid w:val="007C075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9561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82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8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39BB-E64F-487B-988B-28F241C2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Sierd Hadley</dc:creator>
  <cp:lastModifiedBy>Tim Williamson</cp:lastModifiedBy>
  <cp:revision>3</cp:revision>
  <cp:lastPrinted>2015-09-28T08:15:00Z</cp:lastPrinted>
  <dcterms:created xsi:type="dcterms:W3CDTF">2015-11-05T11:31:00Z</dcterms:created>
  <dcterms:modified xsi:type="dcterms:W3CDTF">2015-11-05T11:32:00Z</dcterms:modified>
</cp:coreProperties>
</file>