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B638" w14:textId="77777777" w:rsidR="00C928DA" w:rsidRDefault="00C928DA" w:rsidP="00C928DA">
      <w:pPr>
        <w:pStyle w:val="Heading1"/>
        <w:rPr>
          <w:b/>
        </w:rPr>
      </w:pPr>
      <w:r w:rsidRPr="00D73F77">
        <w:rPr>
          <w:b/>
        </w:rPr>
        <w:t xml:space="preserve">01 </w:t>
      </w:r>
      <w:r>
        <w:rPr>
          <w:b/>
        </w:rPr>
        <w:t xml:space="preserve">Agriculture and Commercial Services </w:t>
      </w:r>
    </w:p>
    <w:p w14:paraId="455D4F86" w14:textId="453AA2ED" w:rsidR="00D73F77" w:rsidRDefault="00D73F77" w:rsidP="006C19B1">
      <w:pPr>
        <w:pStyle w:val="Heading1"/>
        <w:pBdr>
          <w:bottom w:val="single" w:sz="4" w:space="1" w:color="auto"/>
        </w:pBdr>
      </w:pPr>
      <w:r>
        <w:t>201</w:t>
      </w:r>
      <w:r w:rsidR="000647EB">
        <w:t>6/17</w:t>
      </w:r>
      <w:r>
        <w:t xml:space="preserve"> </w:t>
      </w:r>
      <w:r w:rsidR="007901F4">
        <w:t xml:space="preserve">Sector </w:t>
      </w:r>
      <w:r>
        <w:t>Grant</w:t>
      </w:r>
      <w:r w:rsidR="007901F4">
        <w:t xml:space="preserve"> and Budget </w:t>
      </w:r>
      <w:r>
        <w:t xml:space="preserve">Information – </w:t>
      </w:r>
      <w:r w:rsidR="00C928DA">
        <w:t>BFP Draft</w:t>
      </w:r>
      <w:r w:rsidR="00FE2900">
        <w:t xml:space="preserve"> 1</w:t>
      </w:r>
      <w:bookmarkStart w:id="0" w:name="_GoBack"/>
      <w:bookmarkEnd w:id="0"/>
    </w:p>
    <w:p w14:paraId="6721D62A" w14:textId="77777777" w:rsidR="000423C5" w:rsidRPr="00513598" w:rsidRDefault="000423C5" w:rsidP="000423C5">
      <w:pPr>
        <w:pStyle w:val="Heading3"/>
        <w:rPr>
          <w:b/>
          <w:i/>
          <w:color w:val="FF0000"/>
        </w:rPr>
      </w:pPr>
      <w:r w:rsidRPr="00513598">
        <w:rPr>
          <w:b/>
          <w:i/>
          <w:color w:val="FF0000"/>
        </w:rPr>
        <w:t xml:space="preserve">IMPORTANT: This is a draft </w:t>
      </w:r>
      <w:r>
        <w:rPr>
          <w:b/>
          <w:i/>
          <w:color w:val="FF0000"/>
        </w:rPr>
        <w:t xml:space="preserve">paper </w:t>
      </w:r>
      <w:r w:rsidRPr="00513598">
        <w:rPr>
          <w:b/>
          <w:i/>
          <w:color w:val="FF0000"/>
        </w:rPr>
        <w:t xml:space="preserve">for </w:t>
      </w:r>
      <w:r>
        <w:rPr>
          <w:b/>
          <w:i/>
          <w:color w:val="FF0000"/>
        </w:rPr>
        <w:t>use by local governments in their preparation of Budget Framework Papers</w:t>
      </w:r>
      <w:r w:rsidRPr="00513598">
        <w:rPr>
          <w:b/>
          <w:i/>
          <w:color w:val="FF0000"/>
        </w:rPr>
        <w:t xml:space="preserve">.  It </w:t>
      </w:r>
      <w:r>
        <w:rPr>
          <w:b/>
          <w:i/>
          <w:color w:val="FF0000"/>
        </w:rPr>
        <w:t xml:space="preserve">therefore may to be subject to change.  A final paper will be issued alongside the second budget call circular in February.  As a draft it should not be </w:t>
      </w:r>
      <w:r w:rsidRPr="00513598">
        <w:rPr>
          <w:b/>
          <w:i/>
          <w:color w:val="FF0000"/>
        </w:rPr>
        <w:t xml:space="preserve">regarded </w:t>
      </w:r>
      <w:r>
        <w:rPr>
          <w:b/>
          <w:i/>
          <w:color w:val="FF0000"/>
        </w:rPr>
        <w:t xml:space="preserve">as the final </w:t>
      </w:r>
      <w:r w:rsidRPr="00513598">
        <w:rPr>
          <w:b/>
          <w:i/>
          <w:color w:val="FF0000"/>
        </w:rPr>
        <w:t>the policy position of any Government of Uganda</w:t>
      </w:r>
      <w:r>
        <w:rPr>
          <w:b/>
          <w:i/>
          <w:color w:val="FF0000"/>
        </w:rPr>
        <w:t xml:space="preserve"> institution</w:t>
      </w:r>
      <w:r w:rsidRPr="00513598">
        <w:rPr>
          <w:b/>
          <w:i/>
          <w:color w:val="FF0000"/>
        </w:rPr>
        <w:t>.</w:t>
      </w:r>
      <w:r>
        <w:rPr>
          <w:b/>
          <w:i/>
          <w:color w:val="FF0000"/>
        </w:rPr>
        <w:t xml:space="preserve"> </w:t>
      </w:r>
    </w:p>
    <w:p w14:paraId="23AC20C8" w14:textId="77777777" w:rsidR="007C7C52" w:rsidRDefault="007C7C52" w:rsidP="007C7C52">
      <w:pPr>
        <w:pStyle w:val="Heading2"/>
        <w:numPr>
          <w:ilvl w:val="0"/>
          <w:numId w:val="0"/>
        </w:numPr>
        <w:ind w:left="360"/>
      </w:pPr>
    </w:p>
    <w:p w14:paraId="1D7265E9" w14:textId="77777777" w:rsidR="008919DE" w:rsidRPr="007C7C52" w:rsidRDefault="008919DE" w:rsidP="007C7C52">
      <w:pPr>
        <w:pStyle w:val="Heading2"/>
      </w:pPr>
      <w:r w:rsidRPr="007C7C52">
        <w:t>National Sector Policy Priorities</w:t>
      </w:r>
    </w:p>
    <w:p w14:paraId="48BC5989" w14:textId="77777777" w:rsidR="00DC50FE" w:rsidRPr="00B35BDE" w:rsidRDefault="00324EA4" w:rsidP="00DC50FE">
      <w:pPr>
        <w:jc w:val="both"/>
        <w:rPr>
          <w:color w:val="000000" w:themeColor="text1"/>
        </w:rPr>
      </w:pPr>
      <w:r w:rsidRPr="00B35BDE">
        <w:rPr>
          <w:color w:val="000000" w:themeColor="text1"/>
        </w:rPr>
        <w:t>The overall strategic thrust of the agriculture sector is to ensure sustainable and market oriented production, food security and household incomes in the country (NDP II pg.157)</w:t>
      </w:r>
      <w:r w:rsidR="00DC50FE" w:rsidRPr="00B35BDE">
        <w:rPr>
          <w:color w:val="000000" w:themeColor="text1"/>
        </w:rPr>
        <w:t xml:space="preserve">. The National Development Plan II includes objectives to enhance agricultural production and productivity, increasing access to critical farm inputs; improving agricultural markets and value addition by the 12 prioritised commodities and strengthen institutional capacity of MAAIF and public agricultural agencies.” Under the NDP II period, the target is the increase agricultural exports to USD 4 billion by 2020 from the current  USD 1.3 billion and reducing the number of labour force in subsistence production from 6 million in 2012/13 to 3 million by 2019/2020 (NDP II page 157). </w:t>
      </w:r>
    </w:p>
    <w:p w14:paraId="7CC3B7F4" w14:textId="77777777" w:rsidR="00324EA4" w:rsidRDefault="00DC50FE" w:rsidP="00DB1841">
      <w:pPr>
        <w:jc w:val="both"/>
        <w:rPr>
          <w:color w:val="000000" w:themeColor="text1"/>
        </w:rPr>
      </w:pPr>
      <w:r w:rsidRPr="00B35BDE">
        <w:rPr>
          <w:color w:val="000000" w:themeColor="text1"/>
        </w:rPr>
        <w:t>In addition, under the NDP</w:t>
      </w:r>
      <w:r w:rsidR="00B35BDE" w:rsidRPr="00B35BDE">
        <w:rPr>
          <w:color w:val="000000" w:themeColor="text1"/>
        </w:rPr>
        <w:t xml:space="preserve"> II period, the trade and cooperatives sector will aspire to ensure the</w:t>
      </w:r>
      <w:r w:rsidRPr="00B35BDE">
        <w:rPr>
          <w:color w:val="000000" w:themeColor="text1"/>
        </w:rPr>
        <w:t xml:space="preserve"> promot</w:t>
      </w:r>
      <w:r w:rsidR="00B35BDE" w:rsidRPr="00B35BDE">
        <w:rPr>
          <w:color w:val="000000" w:themeColor="text1"/>
        </w:rPr>
        <w:t>ion of</w:t>
      </w:r>
      <w:r w:rsidRPr="00B35BDE">
        <w:rPr>
          <w:color w:val="000000" w:themeColor="text1"/>
        </w:rPr>
        <w:t xml:space="preserve"> sustainable industrialization and appropriate technology and development</w:t>
      </w:r>
      <w:r w:rsidR="00B35BDE" w:rsidRPr="00B35BDE">
        <w:rPr>
          <w:color w:val="000000" w:themeColor="text1"/>
        </w:rPr>
        <w:t xml:space="preserve"> to ensure availability of goods and services by expanding and diversifying domestic and export markets. The objectives of the trade and cooperatives sector are to: increase the share of manufactured goods and services in total exports; improve private sector competiveness; increase market access for Uganda goods services in the regional and national markets; improve the stock and quality of trade infrastructure; promote the formation and growth of cooperatives; enhance the capacity of cooperatives to compete in the domestic regional and international markets; and increase in diversity in type and range of enterprises undertaken by cooperatives.</w:t>
      </w:r>
    </w:p>
    <w:p w14:paraId="54A78B64" w14:textId="77777777" w:rsidR="0021336A" w:rsidRPr="007C7C52" w:rsidRDefault="00611297" w:rsidP="007C7C52">
      <w:pPr>
        <w:pStyle w:val="Heading2"/>
      </w:pPr>
      <w:r w:rsidRPr="007C7C52">
        <w:t>Roles, responsibilities and mandate of Local Government</w:t>
      </w:r>
    </w:p>
    <w:p w14:paraId="3A9B505F" w14:textId="77777777" w:rsidR="00D96E8A" w:rsidRDefault="00D96E8A" w:rsidP="001912B3">
      <w:pPr>
        <w:jc w:val="both"/>
      </w:pPr>
      <w:r>
        <w:t xml:space="preserve">The Local Government Act (Chapter 243) specifies that the Local Government has the responsibility </w:t>
      </w:r>
      <w:proofErr w:type="gramStart"/>
      <w:r>
        <w:t>for</w:t>
      </w:r>
      <w:proofErr w:type="gramEnd"/>
      <w:r>
        <w:t xml:space="preserve"> “all decentralised services and activities which include but are not limited to - crop, animal and fisheries husbandry extension services”</w:t>
      </w:r>
      <w:r w:rsidR="004618AA">
        <w:t xml:space="preserve"> </w:t>
      </w:r>
      <w:r w:rsidR="004618AA" w:rsidRPr="0033629A">
        <w:rPr>
          <w:color w:val="000000" w:themeColor="text1"/>
        </w:rPr>
        <w:t>as well as entomological services and vermin control</w:t>
      </w:r>
      <w:r>
        <w:rPr>
          <w:rStyle w:val="FootnoteReference"/>
        </w:rPr>
        <w:footnoteReference w:id="1"/>
      </w:r>
      <w:r>
        <w:t xml:space="preserve">. The services provided by Local Government include responsibilities for </w:t>
      </w:r>
      <w:r w:rsidRPr="00330E23">
        <w:t>controlling diseases, enforcing agricultural laws and regulations, inspection and certification of inputs, supporting extension services and agricultural statistics</w:t>
      </w:r>
      <w:r>
        <w:t xml:space="preserve">. </w:t>
      </w:r>
    </w:p>
    <w:p w14:paraId="73672C91" w14:textId="77777777" w:rsidR="008919DE" w:rsidRDefault="003763C6" w:rsidP="001912B3">
      <w:pPr>
        <w:jc w:val="both"/>
      </w:pPr>
      <w:r>
        <w:t xml:space="preserve">Services are budgeted under two vote functions – for district production and commercial services. Production services provide for agricultural extension and the control of diseases in agriculture, overseen by the Ministry of Agriculture. Commercial services aim to connect local markets </w:t>
      </w:r>
      <w:r w:rsidR="00850324">
        <w:t>and encourage investment to support the</w:t>
      </w:r>
      <w:r>
        <w:t xml:space="preserve"> trade of agricultural produce, overseen by the Ministry of Trade and Industry.</w:t>
      </w:r>
    </w:p>
    <w:tbl>
      <w:tblPr>
        <w:tblStyle w:val="TableGrid"/>
        <w:tblW w:w="0" w:type="auto"/>
        <w:tblLook w:val="04A0" w:firstRow="1" w:lastRow="0" w:firstColumn="1" w:lastColumn="0" w:noHBand="0" w:noVBand="1"/>
      </w:tblPr>
      <w:tblGrid>
        <w:gridCol w:w="3539"/>
        <w:gridCol w:w="5477"/>
      </w:tblGrid>
      <w:tr w:rsidR="006E2499" w14:paraId="13162C10" w14:textId="77777777" w:rsidTr="0033629A">
        <w:trPr>
          <w:tblHeader/>
        </w:trPr>
        <w:tc>
          <w:tcPr>
            <w:tcW w:w="3539" w:type="dxa"/>
            <w:shd w:val="clear" w:color="auto" w:fill="E7E6E6" w:themeFill="background2"/>
          </w:tcPr>
          <w:p w14:paraId="5825B1A2" w14:textId="77777777" w:rsidR="006E2499" w:rsidRDefault="006E2499" w:rsidP="00EC1516">
            <w:r>
              <w:lastRenderedPageBreak/>
              <w:t>Vote Function</w:t>
            </w:r>
          </w:p>
        </w:tc>
        <w:tc>
          <w:tcPr>
            <w:tcW w:w="5477" w:type="dxa"/>
            <w:shd w:val="clear" w:color="auto" w:fill="E7E6E6" w:themeFill="background2"/>
          </w:tcPr>
          <w:p w14:paraId="391C708A" w14:textId="77777777" w:rsidR="006E2499" w:rsidRDefault="006E2499" w:rsidP="00B35BDE">
            <w:r>
              <w:t>Associated LG Mandate</w:t>
            </w:r>
            <w:r w:rsidR="00B35BDE">
              <w:t xml:space="preserve"> (as laid out in the LG Act CAP 243)</w:t>
            </w:r>
          </w:p>
        </w:tc>
      </w:tr>
      <w:tr w:rsidR="006E2499" w14:paraId="5BB76C50" w14:textId="77777777" w:rsidTr="00EC1516">
        <w:tc>
          <w:tcPr>
            <w:tcW w:w="3539" w:type="dxa"/>
          </w:tcPr>
          <w:p w14:paraId="54A511B1" w14:textId="77777777" w:rsidR="006E2499" w:rsidRDefault="00C51935" w:rsidP="00D77969">
            <w:r>
              <w:t>0182</w:t>
            </w:r>
            <w:r w:rsidR="00D77969">
              <w:t xml:space="preserve"> District production services </w:t>
            </w:r>
          </w:p>
        </w:tc>
        <w:tc>
          <w:tcPr>
            <w:tcW w:w="5477" w:type="dxa"/>
          </w:tcPr>
          <w:p w14:paraId="5BA48FC3" w14:textId="77777777" w:rsidR="00B6608E" w:rsidRDefault="00B6608E" w:rsidP="006C19B1">
            <w:pPr>
              <w:pStyle w:val="ListParagraph"/>
              <w:numPr>
                <w:ilvl w:val="0"/>
                <w:numId w:val="43"/>
              </w:numPr>
              <w:jc w:val="both"/>
            </w:pPr>
            <w:r>
              <w:t>Crop and animal husbandry</w:t>
            </w:r>
          </w:p>
          <w:p w14:paraId="532C0B39" w14:textId="77777777" w:rsidR="006E2499" w:rsidRDefault="00B6608E" w:rsidP="006C19B1">
            <w:pPr>
              <w:pStyle w:val="ListParagraph"/>
              <w:numPr>
                <w:ilvl w:val="0"/>
                <w:numId w:val="43"/>
              </w:numPr>
              <w:jc w:val="both"/>
            </w:pPr>
            <w:r w:rsidRPr="006C19B1">
              <w:t>entomological services and vermin control</w:t>
            </w:r>
            <w:r w:rsidRPr="00B6608E">
              <w:rPr>
                <w:color w:val="000000" w:themeColor="text1"/>
              </w:rPr>
              <w:t xml:space="preserve"> </w:t>
            </w:r>
          </w:p>
        </w:tc>
      </w:tr>
      <w:tr w:rsidR="00B35BDE" w14:paraId="593D83A8" w14:textId="77777777" w:rsidTr="00EC1516">
        <w:tc>
          <w:tcPr>
            <w:tcW w:w="3539" w:type="dxa"/>
          </w:tcPr>
          <w:p w14:paraId="26C31467" w14:textId="77777777" w:rsidR="00B35BDE" w:rsidRDefault="00B35BDE" w:rsidP="00D77969">
            <w:r>
              <w:t>0183 District commercial services</w:t>
            </w:r>
          </w:p>
        </w:tc>
        <w:tc>
          <w:tcPr>
            <w:tcW w:w="5477" w:type="dxa"/>
          </w:tcPr>
          <w:p w14:paraId="24F27701" w14:textId="77777777" w:rsidR="00B35BDE" w:rsidRDefault="00B35BDE" w:rsidP="006C19B1">
            <w:pPr>
              <w:pStyle w:val="ListParagraph"/>
              <w:numPr>
                <w:ilvl w:val="0"/>
                <w:numId w:val="43"/>
              </w:numPr>
              <w:jc w:val="both"/>
            </w:pPr>
            <w:r>
              <w:t>Licencing of produce buying</w:t>
            </w:r>
          </w:p>
          <w:p w14:paraId="04CC3510" w14:textId="77777777" w:rsidR="00B35BDE" w:rsidRDefault="00B35BDE" w:rsidP="006C19B1">
            <w:pPr>
              <w:pStyle w:val="ListParagraph"/>
              <w:numPr>
                <w:ilvl w:val="0"/>
                <w:numId w:val="43"/>
              </w:numPr>
              <w:jc w:val="both"/>
            </w:pPr>
            <w:r>
              <w:t>Trade development services</w:t>
            </w:r>
          </w:p>
          <w:p w14:paraId="291C562B" w14:textId="77777777" w:rsidR="00B35BDE" w:rsidRDefault="00B35BDE" w:rsidP="006C19B1">
            <w:pPr>
              <w:pStyle w:val="ListParagraph"/>
              <w:numPr>
                <w:ilvl w:val="0"/>
                <w:numId w:val="43"/>
              </w:numPr>
              <w:jc w:val="both"/>
            </w:pPr>
            <w:r>
              <w:t xml:space="preserve">Commercial inspectorate </w:t>
            </w:r>
          </w:p>
          <w:p w14:paraId="3F2281AB" w14:textId="77777777" w:rsidR="00B35BDE" w:rsidRDefault="00B35BDE" w:rsidP="006C19B1">
            <w:pPr>
              <w:pStyle w:val="ListParagraph"/>
              <w:numPr>
                <w:ilvl w:val="0"/>
                <w:numId w:val="43"/>
              </w:numPr>
              <w:jc w:val="both"/>
            </w:pPr>
            <w:r>
              <w:t xml:space="preserve">Cooperative development </w:t>
            </w:r>
          </w:p>
          <w:p w14:paraId="29D552FE" w14:textId="77777777" w:rsidR="00B35BDE" w:rsidRDefault="00B35BDE" w:rsidP="006C19B1">
            <w:pPr>
              <w:pStyle w:val="ListParagraph"/>
              <w:numPr>
                <w:ilvl w:val="0"/>
                <w:numId w:val="43"/>
              </w:numPr>
              <w:jc w:val="both"/>
            </w:pPr>
            <w:r>
              <w:t xml:space="preserve">Market linkage services </w:t>
            </w:r>
          </w:p>
          <w:p w14:paraId="77DD93E4" w14:textId="77777777" w:rsidR="00B35BDE" w:rsidRDefault="00B35BDE" w:rsidP="006C19B1">
            <w:pPr>
              <w:pStyle w:val="ListParagraph"/>
              <w:numPr>
                <w:ilvl w:val="0"/>
                <w:numId w:val="43"/>
              </w:numPr>
              <w:jc w:val="both"/>
            </w:pPr>
            <w:r>
              <w:t>Local, national and regional integration</w:t>
            </w:r>
          </w:p>
          <w:p w14:paraId="0A7F85D2" w14:textId="77777777" w:rsidR="00B35BDE" w:rsidRDefault="00B35BDE" w:rsidP="006C19B1">
            <w:pPr>
              <w:pStyle w:val="ListParagraph"/>
              <w:numPr>
                <w:ilvl w:val="0"/>
                <w:numId w:val="43"/>
              </w:numPr>
              <w:jc w:val="both"/>
            </w:pPr>
            <w:r>
              <w:t xml:space="preserve">Value addition </w:t>
            </w:r>
          </w:p>
        </w:tc>
      </w:tr>
    </w:tbl>
    <w:p w14:paraId="27F0B0FB" w14:textId="77777777" w:rsidR="00B35BDE" w:rsidRPr="008F3DEC" w:rsidRDefault="00B35BDE" w:rsidP="006E2499">
      <w:pPr>
        <w:jc w:val="both"/>
        <w:rPr>
          <w:color w:val="FF0000"/>
        </w:rPr>
      </w:pPr>
    </w:p>
    <w:p w14:paraId="57C244B4" w14:textId="77777777" w:rsidR="006E2499" w:rsidRPr="004618AA" w:rsidRDefault="0021336A" w:rsidP="007C7C52">
      <w:pPr>
        <w:pStyle w:val="Heading2"/>
      </w:pPr>
      <w:r w:rsidRPr="004618AA">
        <w:t xml:space="preserve">Transfer Details </w:t>
      </w:r>
    </w:p>
    <w:p w14:paraId="75076CA8" w14:textId="77777777" w:rsidR="00276BD9" w:rsidRDefault="006E2499" w:rsidP="006E2499">
      <w:pPr>
        <w:pStyle w:val="Heading3"/>
      </w:pPr>
      <w:r>
        <w:t xml:space="preserve">Overall Structure and </w:t>
      </w:r>
      <w:r w:rsidR="00276BD9">
        <w:t>Purpose of transfers</w:t>
      </w:r>
      <w:r>
        <w:t xml:space="preserve"> and Overall Allocations</w:t>
      </w:r>
    </w:p>
    <w:p w14:paraId="38E071DA" w14:textId="77777777" w:rsidR="007901F4" w:rsidRDefault="00850324" w:rsidP="00850324">
      <w:pPr>
        <w:jc w:val="both"/>
      </w:pPr>
      <w:r>
        <w:t>Increase the number of functioning and sustainable farmer’ organization i</w:t>
      </w:r>
      <w:r w:rsidR="00551444">
        <w:t>nvolved in collective marketing and deepen service provision at local levels under district commercial officers</w:t>
      </w:r>
    </w:p>
    <w:tbl>
      <w:tblPr>
        <w:tblStyle w:val="TableGrid"/>
        <w:tblW w:w="4832" w:type="pct"/>
        <w:tblInd w:w="108" w:type="dxa"/>
        <w:tblLook w:val="04A0" w:firstRow="1" w:lastRow="0" w:firstColumn="1" w:lastColumn="0" w:noHBand="0" w:noVBand="1"/>
      </w:tblPr>
      <w:tblGrid>
        <w:gridCol w:w="2236"/>
        <w:gridCol w:w="6477"/>
      </w:tblGrid>
      <w:tr w:rsidR="00CF2B45" w14:paraId="60C8D90B" w14:textId="77777777" w:rsidTr="006C19B1">
        <w:trPr>
          <w:tblHeader/>
        </w:trPr>
        <w:tc>
          <w:tcPr>
            <w:tcW w:w="1283" w:type="pct"/>
            <w:shd w:val="clear" w:color="auto" w:fill="E7E6E6" w:themeFill="background2"/>
          </w:tcPr>
          <w:p w14:paraId="7045E529" w14:textId="469C051C" w:rsidR="00CF2B45" w:rsidRDefault="00CF2B45" w:rsidP="00CF2B45">
            <w:pPr>
              <w:tabs>
                <w:tab w:val="left" w:pos="438"/>
              </w:tabs>
            </w:pPr>
            <w:r w:rsidRPr="00084E89">
              <w:t>Grant</w:t>
            </w:r>
          </w:p>
        </w:tc>
        <w:tc>
          <w:tcPr>
            <w:tcW w:w="3717" w:type="pct"/>
            <w:shd w:val="clear" w:color="auto" w:fill="E7E6E6" w:themeFill="background2"/>
          </w:tcPr>
          <w:p w14:paraId="44753D98" w14:textId="55E96EB9" w:rsidR="00CF2B45" w:rsidRDefault="00CF2B45" w:rsidP="00CF2B45">
            <w:pPr>
              <w:tabs>
                <w:tab w:val="left" w:pos="438"/>
              </w:tabs>
              <w:jc w:val="right"/>
            </w:pPr>
            <w:r w:rsidRPr="00084E89">
              <w:t>Purpose</w:t>
            </w:r>
          </w:p>
        </w:tc>
      </w:tr>
      <w:tr w:rsidR="00CF2B45" w:rsidRPr="00B6608E" w14:paraId="4C958FBE" w14:textId="77777777" w:rsidTr="006C19B1">
        <w:trPr>
          <w:trHeight w:val="826"/>
        </w:trPr>
        <w:tc>
          <w:tcPr>
            <w:tcW w:w="1283" w:type="pct"/>
            <w:shd w:val="clear" w:color="auto" w:fill="auto"/>
          </w:tcPr>
          <w:p w14:paraId="5C4C1552" w14:textId="77777777" w:rsidR="00CF2B45" w:rsidRPr="00A93110" w:rsidRDefault="00CF2B45" w:rsidP="00CF2B45">
            <w:pPr>
              <w:tabs>
                <w:tab w:val="left" w:pos="438"/>
              </w:tabs>
              <w:rPr>
                <w:b/>
                <w:color w:val="000000"/>
              </w:rPr>
            </w:pPr>
            <w:r w:rsidRPr="00A93110">
              <w:rPr>
                <w:b/>
                <w:color w:val="000000"/>
              </w:rPr>
              <w:t xml:space="preserve">Wage Conditional Grant </w:t>
            </w:r>
          </w:p>
          <w:p w14:paraId="43DBFFC9" w14:textId="77777777" w:rsidR="00CF2B45" w:rsidRPr="00B6608E" w:rsidRDefault="00CF2B45" w:rsidP="00CF2B45">
            <w:pPr>
              <w:tabs>
                <w:tab w:val="left" w:pos="438"/>
              </w:tabs>
              <w:rPr>
                <w:b/>
                <w:color w:val="000000" w:themeColor="text1"/>
              </w:rPr>
            </w:pPr>
          </w:p>
        </w:tc>
        <w:tc>
          <w:tcPr>
            <w:tcW w:w="3717" w:type="pct"/>
          </w:tcPr>
          <w:p w14:paraId="69F08E72" w14:textId="638140E3" w:rsidR="00CF2B45" w:rsidRPr="00B6608E" w:rsidRDefault="00CF2B45" w:rsidP="00CF2B45">
            <w:pPr>
              <w:jc w:val="both"/>
              <w:rPr>
                <w:color w:val="000000" w:themeColor="text1"/>
                <w:sz w:val="20"/>
                <w:szCs w:val="20"/>
              </w:rPr>
            </w:pPr>
            <w:r w:rsidRPr="00A93110">
              <w:rPr>
                <w:color w:val="000000"/>
              </w:rPr>
              <w:t>At the district level, the proposal is to ensure office based on with an agricultural officer, veterinary officer and fisheries officer (where applicable). In as much as the NAADS grant is now ended, extension services are still required. A proposal is before cabinet to have 1 extension worker per sub county.</w:t>
            </w:r>
          </w:p>
        </w:tc>
      </w:tr>
      <w:tr w:rsidR="00CF2B45" w:rsidRPr="00850324" w14:paraId="78CFF137" w14:textId="77777777" w:rsidTr="006C19B1">
        <w:trPr>
          <w:trHeight w:val="1205"/>
        </w:trPr>
        <w:tc>
          <w:tcPr>
            <w:tcW w:w="1283" w:type="pct"/>
            <w:shd w:val="clear" w:color="auto" w:fill="auto"/>
          </w:tcPr>
          <w:p w14:paraId="20B84E2F" w14:textId="094230D7" w:rsidR="00CF2B45" w:rsidRPr="00B22556" w:rsidRDefault="00CF2B45" w:rsidP="00CF2B45">
            <w:pPr>
              <w:tabs>
                <w:tab w:val="left" w:pos="438"/>
              </w:tabs>
              <w:rPr>
                <w:b/>
              </w:rPr>
            </w:pPr>
            <w:r w:rsidRPr="00A93110">
              <w:rPr>
                <w:b/>
              </w:rPr>
              <w:t xml:space="preserve">Non-Wage </w:t>
            </w:r>
            <w:r>
              <w:rPr>
                <w:b/>
              </w:rPr>
              <w:t xml:space="preserve">Recurrent (NWR) </w:t>
            </w:r>
            <w:r w:rsidRPr="00A93110">
              <w:rPr>
                <w:b/>
              </w:rPr>
              <w:t>Conditional Grant</w:t>
            </w:r>
          </w:p>
        </w:tc>
        <w:tc>
          <w:tcPr>
            <w:tcW w:w="3717" w:type="pct"/>
          </w:tcPr>
          <w:p w14:paraId="3CBEA515" w14:textId="71AC527D" w:rsidR="00CF2B45" w:rsidRPr="006C19B1" w:rsidRDefault="00CF2B45" w:rsidP="006C19B1">
            <w:pPr>
              <w:tabs>
                <w:tab w:val="left" w:pos="438"/>
              </w:tabs>
              <w:rPr>
                <w:highlight w:val="yellow"/>
              </w:rPr>
            </w:pPr>
            <w:r w:rsidRPr="00084E89">
              <w:t xml:space="preserve">Supports increased input use of fertilizer and improved seed; water for production; disease control, and; and to collect agriculture and trade statistics and others as per the PMG guidelines. The allocation is earmarked to Production and Marketing Grant.  </w:t>
            </w:r>
          </w:p>
        </w:tc>
      </w:tr>
    </w:tbl>
    <w:p w14:paraId="5C65BBF9" w14:textId="77777777" w:rsidR="00BA2A16" w:rsidRDefault="00BA2A16" w:rsidP="004772C5">
      <w:pPr>
        <w:jc w:val="both"/>
        <w:rPr>
          <w:sz w:val="18"/>
        </w:rPr>
      </w:pPr>
    </w:p>
    <w:p w14:paraId="19FDCFF9" w14:textId="70FF0045" w:rsidR="004772C5" w:rsidRPr="00FB7C2C" w:rsidRDefault="004772C5" w:rsidP="004772C5">
      <w:pPr>
        <w:jc w:val="both"/>
      </w:pPr>
      <w:r>
        <w:t>Overall, the purpose of transfers to Local Governments for agriculture services aim to support services that increase the level of production and productivity of priority agricultural commodities.</w:t>
      </w:r>
      <w:r w:rsidR="009553A0">
        <w:t xml:space="preserve"> </w:t>
      </w:r>
      <w:r>
        <w:t xml:space="preserve">Wage allocations for extension services are provided to all Districts and Municipalities, while the allocations for Production and Marketing are targeted at Districts only, except where a Municipality has opted to allocate resources through under the </w:t>
      </w:r>
      <w:r w:rsidR="003C2E0E">
        <w:t>DDEG</w:t>
      </w:r>
      <w:r>
        <w:t>. Both grants are fully funded by the Government of Uganda</w:t>
      </w:r>
      <w:r w:rsidRPr="00FB7C2C">
        <w:t xml:space="preserve">. </w:t>
      </w:r>
      <w:r>
        <w:t xml:space="preserve">Allocations to the </w:t>
      </w:r>
      <w:r w:rsidRPr="00BA6B44">
        <w:t xml:space="preserve">National Agricultural Advisory Services </w:t>
      </w:r>
      <w:r>
        <w:t>(NAADS) programme have been phased out since 2014/15.</w:t>
      </w:r>
      <w:r w:rsidRPr="00FB7C2C">
        <w:t xml:space="preserve"> </w:t>
      </w:r>
    </w:p>
    <w:p w14:paraId="3920525B" w14:textId="77777777" w:rsidR="007901F4" w:rsidRPr="009553A0" w:rsidRDefault="007901F4" w:rsidP="006E2499">
      <w:pPr>
        <w:pStyle w:val="Heading3"/>
        <w:rPr>
          <w:b/>
          <w:color w:val="000000" w:themeColor="text1"/>
          <w:sz w:val="28"/>
        </w:rPr>
      </w:pPr>
      <w:r w:rsidRPr="004618AA">
        <w:rPr>
          <w:b/>
          <w:sz w:val="28"/>
        </w:rPr>
        <w:t>Grant Allocation Formula</w:t>
      </w:r>
    </w:p>
    <w:p w14:paraId="2804512A" w14:textId="77777777" w:rsidR="006E2499" w:rsidRDefault="000647EB" w:rsidP="006E2499">
      <w:pPr>
        <w:rPr>
          <w:color w:val="000000" w:themeColor="text1"/>
        </w:rPr>
      </w:pPr>
      <w:r w:rsidRPr="009553A0">
        <w:rPr>
          <w:color w:val="000000" w:themeColor="text1"/>
        </w:rPr>
        <w:t>The proposed grant allocation formula i</w:t>
      </w:r>
      <w:r w:rsidR="0033629A" w:rsidRPr="009553A0">
        <w:rPr>
          <w:color w:val="000000" w:themeColor="text1"/>
        </w:rPr>
        <w:t>s described in the table below for both production and commercial services.</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746"/>
        <w:gridCol w:w="748"/>
        <w:gridCol w:w="5696"/>
      </w:tblGrid>
      <w:tr w:rsidR="00CF2B45" w:rsidRPr="00CF2306" w14:paraId="05B22A0D" w14:textId="77777777" w:rsidTr="006C19B1">
        <w:trPr>
          <w:tblHeader/>
        </w:trPr>
        <w:tc>
          <w:tcPr>
            <w:tcW w:w="1164" w:type="pct"/>
            <w:vMerge w:val="restart"/>
            <w:shd w:val="clear" w:color="auto" w:fill="E7E6E6"/>
          </w:tcPr>
          <w:p w14:paraId="21D876AC" w14:textId="77777777" w:rsidR="00CF2B45" w:rsidRPr="00CF2306" w:rsidRDefault="00CF2B45" w:rsidP="006F1F61">
            <w:pPr>
              <w:tabs>
                <w:tab w:val="left" w:pos="438"/>
              </w:tabs>
              <w:spacing w:after="0" w:line="240" w:lineRule="auto"/>
              <w:rPr>
                <w:b/>
              </w:rPr>
            </w:pPr>
            <w:r w:rsidRPr="00CF2306">
              <w:rPr>
                <w:b/>
              </w:rPr>
              <w:t>Variable</w:t>
            </w:r>
          </w:p>
        </w:tc>
        <w:tc>
          <w:tcPr>
            <w:tcW w:w="797" w:type="pct"/>
            <w:gridSpan w:val="2"/>
            <w:shd w:val="clear" w:color="auto" w:fill="E7E6E6"/>
          </w:tcPr>
          <w:p w14:paraId="084D7779" w14:textId="77777777" w:rsidR="00CF2B45" w:rsidRPr="00CF2306" w:rsidRDefault="00CF2B45" w:rsidP="006F1F61">
            <w:pPr>
              <w:tabs>
                <w:tab w:val="left" w:pos="438"/>
              </w:tabs>
              <w:spacing w:after="0" w:line="240" w:lineRule="auto"/>
              <w:rPr>
                <w:b/>
              </w:rPr>
            </w:pPr>
            <w:r>
              <w:rPr>
                <w:b/>
              </w:rPr>
              <w:t>Weighting</w:t>
            </w:r>
          </w:p>
        </w:tc>
        <w:tc>
          <w:tcPr>
            <w:tcW w:w="3039" w:type="pct"/>
            <w:vMerge w:val="restart"/>
            <w:shd w:val="clear" w:color="auto" w:fill="E7E6E6"/>
          </w:tcPr>
          <w:p w14:paraId="1EED03A9" w14:textId="77777777" w:rsidR="00CF2B45" w:rsidRPr="00CF2306" w:rsidRDefault="00CF2B45" w:rsidP="006F1F61">
            <w:pPr>
              <w:tabs>
                <w:tab w:val="left" w:pos="438"/>
              </w:tabs>
              <w:spacing w:after="0" w:line="240" w:lineRule="auto"/>
              <w:rPr>
                <w:b/>
              </w:rPr>
            </w:pPr>
            <w:r w:rsidRPr="00CF2306">
              <w:rPr>
                <w:b/>
              </w:rPr>
              <w:t>Justification</w:t>
            </w:r>
          </w:p>
        </w:tc>
      </w:tr>
      <w:tr w:rsidR="00CF2B45" w:rsidRPr="00CF2306" w14:paraId="52B1288E" w14:textId="77777777" w:rsidTr="006C19B1">
        <w:trPr>
          <w:trHeight w:val="259"/>
          <w:tblHeader/>
        </w:trPr>
        <w:tc>
          <w:tcPr>
            <w:tcW w:w="1164" w:type="pct"/>
            <w:vMerge/>
            <w:shd w:val="clear" w:color="auto" w:fill="E7E6E6"/>
          </w:tcPr>
          <w:p w14:paraId="1F03E0AC" w14:textId="77777777" w:rsidR="00CF2B45" w:rsidRPr="00CF2306" w:rsidRDefault="00CF2B45" w:rsidP="006F1F61">
            <w:pPr>
              <w:tabs>
                <w:tab w:val="left" w:pos="438"/>
              </w:tabs>
              <w:spacing w:after="0" w:line="240" w:lineRule="auto"/>
              <w:rPr>
                <w:b/>
              </w:rPr>
            </w:pPr>
          </w:p>
        </w:tc>
        <w:tc>
          <w:tcPr>
            <w:tcW w:w="398" w:type="pct"/>
            <w:shd w:val="clear" w:color="auto" w:fill="E7E6E6"/>
          </w:tcPr>
          <w:p w14:paraId="72CEDB32" w14:textId="5B60E6EB" w:rsidR="00CF2B45" w:rsidRPr="00A34ECC" w:rsidRDefault="00CF2B45" w:rsidP="006F1F61">
            <w:pPr>
              <w:tabs>
                <w:tab w:val="left" w:pos="438"/>
              </w:tabs>
              <w:spacing w:after="0" w:line="240" w:lineRule="auto"/>
              <w:rPr>
                <w:b/>
              </w:rPr>
            </w:pPr>
            <w:r w:rsidRPr="00A34ECC">
              <w:rPr>
                <w:b/>
              </w:rPr>
              <w:t>NWR</w:t>
            </w:r>
          </w:p>
        </w:tc>
        <w:tc>
          <w:tcPr>
            <w:tcW w:w="399" w:type="pct"/>
            <w:shd w:val="clear" w:color="auto" w:fill="E7E6E6"/>
          </w:tcPr>
          <w:p w14:paraId="04BBF1E9" w14:textId="0471A413" w:rsidR="00CF2B45" w:rsidRPr="00A34ECC" w:rsidRDefault="00CF2B45" w:rsidP="006F1F61">
            <w:pPr>
              <w:tabs>
                <w:tab w:val="left" w:pos="438"/>
              </w:tabs>
              <w:spacing w:after="0" w:line="240" w:lineRule="auto"/>
              <w:rPr>
                <w:b/>
              </w:rPr>
            </w:pPr>
            <w:r w:rsidRPr="00A34ECC">
              <w:rPr>
                <w:b/>
              </w:rPr>
              <w:t>Wage</w:t>
            </w:r>
          </w:p>
        </w:tc>
        <w:tc>
          <w:tcPr>
            <w:tcW w:w="3039" w:type="pct"/>
            <w:vMerge/>
            <w:shd w:val="clear" w:color="auto" w:fill="E7E6E6"/>
          </w:tcPr>
          <w:p w14:paraId="393C2055" w14:textId="77777777" w:rsidR="00CF2B45" w:rsidRPr="00CF2306" w:rsidRDefault="00CF2B45" w:rsidP="006F1F61">
            <w:pPr>
              <w:tabs>
                <w:tab w:val="left" w:pos="438"/>
              </w:tabs>
              <w:spacing w:after="0" w:line="240" w:lineRule="auto"/>
              <w:rPr>
                <w:b/>
              </w:rPr>
            </w:pPr>
          </w:p>
        </w:tc>
      </w:tr>
      <w:tr w:rsidR="00CF2B45" w:rsidRPr="00CF2306" w14:paraId="052B5809" w14:textId="77777777" w:rsidTr="006C19B1">
        <w:tc>
          <w:tcPr>
            <w:tcW w:w="1164" w:type="pct"/>
            <w:shd w:val="clear" w:color="auto" w:fill="auto"/>
          </w:tcPr>
          <w:p w14:paraId="716DBAF5" w14:textId="77777777" w:rsidR="00CF2B45" w:rsidRPr="00CF2306" w:rsidRDefault="00CF2B45" w:rsidP="006F1F61">
            <w:pPr>
              <w:tabs>
                <w:tab w:val="left" w:pos="438"/>
              </w:tabs>
              <w:spacing w:after="0" w:line="240" w:lineRule="auto"/>
            </w:pPr>
            <w:r>
              <w:t>Land Area (Hectares)</w:t>
            </w:r>
          </w:p>
        </w:tc>
        <w:tc>
          <w:tcPr>
            <w:tcW w:w="398" w:type="pct"/>
            <w:shd w:val="clear" w:color="auto" w:fill="auto"/>
          </w:tcPr>
          <w:p w14:paraId="19AA2E03" w14:textId="77777777" w:rsidR="00CF2B45" w:rsidRPr="00CF2306" w:rsidRDefault="00CF2B45" w:rsidP="006F1F61">
            <w:pPr>
              <w:tabs>
                <w:tab w:val="left" w:pos="438"/>
              </w:tabs>
              <w:spacing w:after="0" w:line="240" w:lineRule="auto"/>
            </w:pPr>
            <w:r>
              <w:t>10</w:t>
            </w:r>
          </w:p>
        </w:tc>
        <w:tc>
          <w:tcPr>
            <w:tcW w:w="399" w:type="pct"/>
            <w:shd w:val="clear" w:color="auto" w:fill="auto"/>
          </w:tcPr>
          <w:p w14:paraId="30B3D6DF" w14:textId="77777777" w:rsidR="00CF2B45" w:rsidRPr="00CF2306" w:rsidRDefault="00CF2B45" w:rsidP="006F1F61">
            <w:pPr>
              <w:tabs>
                <w:tab w:val="left" w:pos="438"/>
              </w:tabs>
              <w:spacing w:after="0" w:line="240" w:lineRule="auto"/>
            </w:pPr>
            <w:r>
              <w:t>10</w:t>
            </w:r>
          </w:p>
        </w:tc>
        <w:tc>
          <w:tcPr>
            <w:tcW w:w="3039" w:type="pct"/>
            <w:shd w:val="clear" w:color="auto" w:fill="auto"/>
          </w:tcPr>
          <w:p w14:paraId="7E47022C" w14:textId="77777777" w:rsidR="00CF2B45" w:rsidRPr="00CF2306" w:rsidRDefault="00CF2B45" w:rsidP="006F1F61">
            <w:pPr>
              <w:tabs>
                <w:tab w:val="left" w:pos="438"/>
              </w:tabs>
              <w:spacing w:after="0" w:line="240" w:lineRule="auto"/>
              <w:rPr>
                <w:highlight w:val="yellow"/>
              </w:rPr>
            </w:pPr>
            <w:r>
              <w:t>Land suitable for agriculture to an approximate target population for agriculture.</w:t>
            </w:r>
          </w:p>
        </w:tc>
      </w:tr>
      <w:tr w:rsidR="00CF2B45" w:rsidRPr="00CF2306" w14:paraId="193B8584" w14:textId="77777777" w:rsidTr="006C19B1">
        <w:tc>
          <w:tcPr>
            <w:tcW w:w="1164" w:type="pct"/>
            <w:shd w:val="clear" w:color="auto" w:fill="auto"/>
          </w:tcPr>
          <w:p w14:paraId="6ADD0318" w14:textId="77777777" w:rsidR="00CF2B45" w:rsidRPr="00CF2306" w:rsidRDefault="00CF2B45" w:rsidP="006F1F61">
            <w:pPr>
              <w:tabs>
                <w:tab w:val="left" w:pos="438"/>
              </w:tabs>
              <w:spacing w:after="0" w:line="240" w:lineRule="auto"/>
            </w:pPr>
            <w:r>
              <w:t>Population</w:t>
            </w:r>
          </w:p>
        </w:tc>
        <w:tc>
          <w:tcPr>
            <w:tcW w:w="398" w:type="pct"/>
            <w:shd w:val="clear" w:color="auto" w:fill="auto"/>
          </w:tcPr>
          <w:p w14:paraId="3BCCA7E8" w14:textId="77777777" w:rsidR="00CF2B45" w:rsidRPr="00CF2306" w:rsidRDefault="00CF2B45" w:rsidP="006F1F61">
            <w:pPr>
              <w:tabs>
                <w:tab w:val="left" w:pos="438"/>
              </w:tabs>
              <w:spacing w:after="0" w:line="240" w:lineRule="auto"/>
            </w:pPr>
            <w:r>
              <w:t>48</w:t>
            </w:r>
          </w:p>
        </w:tc>
        <w:tc>
          <w:tcPr>
            <w:tcW w:w="399" w:type="pct"/>
            <w:shd w:val="clear" w:color="auto" w:fill="auto"/>
          </w:tcPr>
          <w:p w14:paraId="3552303F" w14:textId="77777777" w:rsidR="00CF2B45" w:rsidRPr="00CF2306" w:rsidRDefault="00CF2B45" w:rsidP="006F1F61">
            <w:pPr>
              <w:tabs>
                <w:tab w:val="left" w:pos="438"/>
              </w:tabs>
              <w:spacing w:after="0" w:line="240" w:lineRule="auto"/>
            </w:pPr>
            <w:r>
              <w:t>48</w:t>
            </w:r>
          </w:p>
        </w:tc>
        <w:tc>
          <w:tcPr>
            <w:tcW w:w="3039" w:type="pct"/>
            <w:shd w:val="clear" w:color="auto" w:fill="auto"/>
          </w:tcPr>
          <w:p w14:paraId="2D11A6DF" w14:textId="6C35A414" w:rsidR="00CF2B45" w:rsidRPr="00CF2306" w:rsidRDefault="00CF2B45" w:rsidP="003C2E0E">
            <w:pPr>
              <w:tabs>
                <w:tab w:val="left" w:pos="438"/>
              </w:tabs>
              <w:spacing w:after="0" w:line="240" w:lineRule="auto"/>
              <w:rPr>
                <w:highlight w:val="yellow"/>
              </w:rPr>
            </w:pPr>
            <w:r>
              <w:t>The target population is in both rural and urban area for both agri</w:t>
            </w:r>
            <w:r w:rsidR="003C2E0E">
              <w:t>culture and commercial services.</w:t>
            </w:r>
          </w:p>
        </w:tc>
      </w:tr>
      <w:tr w:rsidR="00CF2B45" w:rsidRPr="00CF2306" w14:paraId="4C6C7B7A" w14:textId="77777777" w:rsidTr="006C19B1">
        <w:tc>
          <w:tcPr>
            <w:tcW w:w="1164" w:type="pct"/>
            <w:shd w:val="clear" w:color="auto" w:fill="auto"/>
          </w:tcPr>
          <w:p w14:paraId="1B7DDDE4" w14:textId="77777777" w:rsidR="00CF2B45" w:rsidRPr="00CF2306" w:rsidRDefault="00CF2B45" w:rsidP="006F1F61">
            <w:pPr>
              <w:tabs>
                <w:tab w:val="left" w:pos="438"/>
              </w:tabs>
              <w:spacing w:after="0" w:line="240" w:lineRule="auto"/>
            </w:pPr>
            <w:r>
              <w:t>Population in Hard to Reach Hard to Stay Areas</w:t>
            </w:r>
          </w:p>
        </w:tc>
        <w:tc>
          <w:tcPr>
            <w:tcW w:w="398" w:type="pct"/>
            <w:shd w:val="clear" w:color="auto" w:fill="auto"/>
          </w:tcPr>
          <w:p w14:paraId="46B62B80" w14:textId="77777777" w:rsidR="00CF2B45" w:rsidRPr="00CF2306" w:rsidRDefault="00CF2B45" w:rsidP="006F1F61">
            <w:pPr>
              <w:tabs>
                <w:tab w:val="left" w:pos="438"/>
              </w:tabs>
              <w:spacing w:after="0" w:line="240" w:lineRule="auto"/>
            </w:pPr>
            <w:r>
              <w:t>2</w:t>
            </w:r>
          </w:p>
        </w:tc>
        <w:tc>
          <w:tcPr>
            <w:tcW w:w="399" w:type="pct"/>
            <w:shd w:val="clear" w:color="auto" w:fill="auto"/>
          </w:tcPr>
          <w:p w14:paraId="55AFA5C4" w14:textId="77777777" w:rsidR="00CF2B45" w:rsidRPr="00CF2306" w:rsidRDefault="00CF2B45" w:rsidP="006F1F61">
            <w:pPr>
              <w:tabs>
                <w:tab w:val="left" w:pos="438"/>
              </w:tabs>
              <w:spacing w:after="0" w:line="240" w:lineRule="auto"/>
            </w:pPr>
            <w:r>
              <w:t>2</w:t>
            </w:r>
          </w:p>
        </w:tc>
        <w:tc>
          <w:tcPr>
            <w:tcW w:w="3039" w:type="pct"/>
            <w:shd w:val="clear" w:color="auto" w:fill="auto"/>
          </w:tcPr>
          <w:p w14:paraId="4E7728FE" w14:textId="77777777" w:rsidR="00CF2B45" w:rsidRPr="00CF2306" w:rsidRDefault="00CF2B45" w:rsidP="006F1F61">
            <w:pPr>
              <w:tabs>
                <w:tab w:val="left" w:pos="438"/>
              </w:tabs>
              <w:spacing w:after="0" w:line="240" w:lineRule="auto"/>
              <w:rPr>
                <w:highlight w:val="yellow"/>
              </w:rPr>
            </w:pPr>
            <w:r>
              <w:t>Those areas which are hard to reach are given priorities. Island areas are classified as hard to reach and therefore fishing areas are compensated.</w:t>
            </w:r>
          </w:p>
        </w:tc>
      </w:tr>
      <w:tr w:rsidR="00CF2B45" w:rsidRPr="00CF2306" w14:paraId="64C344CF" w14:textId="77777777" w:rsidTr="006C19B1">
        <w:tc>
          <w:tcPr>
            <w:tcW w:w="1164" w:type="pct"/>
            <w:shd w:val="clear" w:color="auto" w:fill="auto"/>
          </w:tcPr>
          <w:p w14:paraId="78C9E40A" w14:textId="77777777" w:rsidR="00CF2B45" w:rsidRPr="00CF2306" w:rsidRDefault="00CF2B45" w:rsidP="006F1F61">
            <w:pPr>
              <w:tabs>
                <w:tab w:val="left" w:pos="438"/>
              </w:tabs>
              <w:spacing w:after="0" w:line="240" w:lineRule="auto"/>
            </w:pPr>
            <w:r>
              <w:lastRenderedPageBreak/>
              <w:t>Poverty Headcount</w:t>
            </w:r>
          </w:p>
        </w:tc>
        <w:tc>
          <w:tcPr>
            <w:tcW w:w="398" w:type="pct"/>
            <w:shd w:val="clear" w:color="auto" w:fill="auto"/>
          </w:tcPr>
          <w:p w14:paraId="743E42F9" w14:textId="34215A92" w:rsidR="00CF2B45" w:rsidRPr="00CF2306" w:rsidRDefault="00CF2B45" w:rsidP="006F1F61">
            <w:pPr>
              <w:tabs>
                <w:tab w:val="left" w:pos="438"/>
              </w:tabs>
              <w:spacing w:after="0" w:line="240" w:lineRule="auto"/>
            </w:pPr>
            <w:r>
              <w:t>10</w:t>
            </w:r>
          </w:p>
        </w:tc>
        <w:tc>
          <w:tcPr>
            <w:tcW w:w="399" w:type="pct"/>
            <w:shd w:val="clear" w:color="auto" w:fill="auto"/>
          </w:tcPr>
          <w:p w14:paraId="139C47AA" w14:textId="77777777" w:rsidR="00CF2B45" w:rsidRPr="00CF2306" w:rsidRDefault="00CF2B45" w:rsidP="006F1F61">
            <w:pPr>
              <w:tabs>
                <w:tab w:val="left" w:pos="438"/>
              </w:tabs>
              <w:spacing w:after="0" w:line="240" w:lineRule="auto"/>
            </w:pPr>
            <w:r>
              <w:t>10</w:t>
            </w:r>
          </w:p>
        </w:tc>
        <w:tc>
          <w:tcPr>
            <w:tcW w:w="3039" w:type="pct"/>
            <w:shd w:val="clear" w:color="auto" w:fill="auto"/>
          </w:tcPr>
          <w:p w14:paraId="6D760C50" w14:textId="6B16A330" w:rsidR="00CF2B45" w:rsidRPr="00CF2306" w:rsidRDefault="00CF2B45" w:rsidP="006F1F61">
            <w:pPr>
              <w:tabs>
                <w:tab w:val="left" w:pos="438"/>
              </w:tabs>
              <w:spacing w:after="0" w:line="240" w:lineRule="auto"/>
              <w:rPr>
                <w:highlight w:val="yellow"/>
              </w:rPr>
            </w:pPr>
            <w:r>
              <w:t xml:space="preserve">Approximates </w:t>
            </w:r>
            <w:r w:rsidR="008B3511">
              <w:t xml:space="preserve">need, </w:t>
            </w:r>
            <w:r>
              <w:t>with high</w:t>
            </w:r>
            <w:r w:rsidR="008B3511">
              <w:t>er</w:t>
            </w:r>
            <w:r>
              <w:t xml:space="preserve"> poverty levels getting a higher allocation.</w:t>
            </w:r>
          </w:p>
        </w:tc>
      </w:tr>
      <w:tr w:rsidR="00CF2B45" w:rsidRPr="00CF2306" w14:paraId="5C81F7E8" w14:textId="77777777" w:rsidTr="006C19B1">
        <w:trPr>
          <w:trHeight w:val="152"/>
        </w:trPr>
        <w:tc>
          <w:tcPr>
            <w:tcW w:w="1164" w:type="pct"/>
            <w:shd w:val="clear" w:color="auto" w:fill="auto"/>
          </w:tcPr>
          <w:p w14:paraId="1D26D7AF" w14:textId="77777777" w:rsidR="00CF2B45" w:rsidRPr="00CF2306" w:rsidRDefault="00CF2B45" w:rsidP="006F1F61">
            <w:pPr>
              <w:tabs>
                <w:tab w:val="left" w:pos="438"/>
              </w:tabs>
              <w:spacing w:after="0" w:line="240" w:lineRule="auto"/>
            </w:pPr>
            <w:r>
              <w:t>Rural Population</w:t>
            </w:r>
          </w:p>
        </w:tc>
        <w:tc>
          <w:tcPr>
            <w:tcW w:w="398" w:type="pct"/>
            <w:shd w:val="clear" w:color="auto" w:fill="auto"/>
          </w:tcPr>
          <w:p w14:paraId="762D1276" w14:textId="77777777" w:rsidR="00CF2B45" w:rsidRPr="00CF2306" w:rsidRDefault="00CF2B45" w:rsidP="006F1F61">
            <w:pPr>
              <w:tabs>
                <w:tab w:val="left" w:pos="438"/>
              </w:tabs>
              <w:spacing w:after="0" w:line="240" w:lineRule="auto"/>
            </w:pPr>
            <w:r>
              <w:t>30</w:t>
            </w:r>
          </w:p>
        </w:tc>
        <w:tc>
          <w:tcPr>
            <w:tcW w:w="399" w:type="pct"/>
            <w:shd w:val="clear" w:color="auto" w:fill="auto"/>
          </w:tcPr>
          <w:p w14:paraId="3A2A3A6B" w14:textId="77777777" w:rsidR="00CF2B45" w:rsidRPr="00CF2306" w:rsidRDefault="00CF2B45" w:rsidP="006F1F61">
            <w:pPr>
              <w:tabs>
                <w:tab w:val="left" w:pos="438"/>
              </w:tabs>
              <w:spacing w:after="0" w:line="240" w:lineRule="auto"/>
            </w:pPr>
            <w:r>
              <w:t>30</w:t>
            </w:r>
          </w:p>
        </w:tc>
        <w:tc>
          <w:tcPr>
            <w:tcW w:w="3039" w:type="pct"/>
            <w:shd w:val="clear" w:color="auto" w:fill="auto"/>
          </w:tcPr>
          <w:p w14:paraId="010FF6F6" w14:textId="77777777" w:rsidR="00CF2B45" w:rsidRPr="00CF2306" w:rsidRDefault="00CF2B45" w:rsidP="006F1F61">
            <w:pPr>
              <w:tabs>
                <w:tab w:val="left" w:pos="438"/>
              </w:tabs>
              <w:spacing w:after="0" w:line="240" w:lineRule="auto"/>
              <w:rPr>
                <w:highlight w:val="yellow"/>
              </w:rPr>
            </w:pPr>
            <w:r>
              <w:t>Most of the people in the rural countryside are engaged in agriculture. Additional weight is therefore given to rural population</w:t>
            </w:r>
          </w:p>
        </w:tc>
      </w:tr>
    </w:tbl>
    <w:p w14:paraId="48AA8582" w14:textId="77777777" w:rsidR="00BA2A16" w:rsidRDefault="00BA2A16" w:rsidP="00BA2A16">
      <w:pPr>
        <w:spacing w:after="0" w:line="240" w:lineRule="auto"/>
        <w:contextualSpacing/>
        <w:rPr>
          <w:rFonts w:eastAsia="Times New Roman" w:cs="Calibri"/>
          <w:color w:val="000000"/>
          <w:lang w:val="en-US"/>
        </w:rPr>
      </w:pPr>
    </w:p>
    <w:p w14:paraId="0FDBDFD4" w14:textId="67C9CDB3" w:rsidR="00B42817" w:rsidRDefault="00B42817" w:rsidP="008B3511">
      <w:pPr>
        <w:jc w:val="both"/>
      </w:pPr>
      <w:r w:rsidRPr="00E554CF">
        <w:t xml:space="preserve">The </w:t>
      </w:r>
      <w:r w:rsidRPr="00E554CF">
        <w:rPr>
          <w:b/>
        </w:rPr>
        <w:t>medium term phase in plan</w:t>
      </w:r>
      <w:r w:rsidRPr="00E554CF">
        <w:t xml:space="preserve"> for the allocation formulae, in line with the </w:t>
      </w:r>
      <w:r>
        <w:t>1</w:t>
      </w:r>
      <w:r w:rsidRPr="005339B3">
        <w:rPr>
          <w:vertAlign w:val="superscript"/>
        </w:rPr>
        <w:t>st</w:t>
      </w:r>
      <w:r>
        <w:t xml:space="preserve"> </w:t>
      </w:r>
      <w:r w:rsidRPr="00E554CF">
        <w:t xml:space="preserve">Budget Call Circular </w:t>
      </w:r>
      <w:r>
        <w:t>is</w:t>
      </w:r>
      <w:r w:rsidRPr="00E554CF">
        <w:t xml:space="preserve"> as follows:</w:t>
      </w:r>
    </w:p>
    <w:tbl>
      <w:tblPr>
        <w:tblW w:w="9268" w:type="dxa"/>
        <w:tblInd w:w="-34" w:type="dxa"/>
        <w:tblLook w:val="04A0" w:firstRow="1" w:lastRow="0" w:firstColumn="1" w:lastColumn="0" w:noHBand="0" w:noVBand="1"/>
      </w:tblPr>
      <w:tblGrid>
        <w:gridCol w:w="3148"/>
        <w:gridCol w:w="1020"/>
        <w:gridCol w:w="1020"/>
        <w:gridCol w:w="1020"/>
        <w:gridCol w:w="1020"/>
        <w:gridCol w:w="1020"/>
        <w:gridCol w:w="1020"/>
      </w:tblGrid>
      <w:tr w:rsidR="00CF2B45" w:rsidRPr="00CF2B45" w14:paraId="0C948FBE" w14:textId="77777777" w:rsidTr="006C19B1">
        <w:trPr>
          <w:trHeight w:val="300"/>
        </w:trPr>
        <w:tc>
          <w:tcPr>
            <w:tcW w:w="3148" w:type="dxa"/>
            <w:tcBorders>
              <w:top w:val="single" w:sz="4" w:space="0" w:color="auto"/>
              <w:left w:val="single" w:sz="4" w:space="0" w:color="auto"/>
              <w:bottom w:val="single" w:sz="4" w:space="0" w:color="auto"/>
              <w:right w:val="nil"/>
            </w:tcBorders>
            <w:shd w:val="clear" w:color="auto" w:fill="auto"/>
            <w:noWrap/>
            <w:vAlign w:val="bottom"/>
            <w:hideMark/>
          </w:tcPr>
          <w:p w14:paraId="49C2EBA7" w14:textId="77777777" w:rsidR="00CF2B45" w:rsidRPr="006C19B1" w:rsidRDefault="00CF2B45" w:rsidP="006F1F61">
            <w:pPr>
              <w:spacing w:after="0" w:line="240" w:lineRule="auto"/>
              <w:rPr>
                <w:rFonts w:eastAsia="Times New Roman"/>
                <w:color w:val="000000"/>
                <w:sz w:val="20"/>
                <w:lang w:eastAsia="en-GB"/>
              </w:rPr>
            </w:pPr>
            <w:r w:rsidRPr="006C19B1">
              <w:rPr>
                <w:rFonts w:eastAsia="Times New Roman"/>
                <w:color w:val="000000"/>
                <w:sz w:val="20"/>
                <w:lang w:eastAsia="en-GB"/>
              </w:rPr>
              <w:t> </w:t>
            </w:r>
          </w:p>
        </w:tc>
        <w:tc>
          <w:tcPr>
            <w:tcW w:w="1020" w:type="dxa"/>
            <w:tcBorders>
              <w:top w:val="single" w:sz="4" w:space="0" w:color="auto"/>
              <w:left w:val="nil"/>
              <w:bottom w:val="single" w:sz="4" w:space="0" w:color="auto"/>
              <w:right w:val="nil"/>
            </w:tcBorders>
            <w:shd w:val="clear" w:color="auto" w:fill="auto"/>
            <w:noWrap/>
            <w:vAlign w:val="bottom"/>
            <w:hideMark/>
          </w:tcPr>
          <w:p w14:paraId="55D73996"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2015/16</w:t>
            </w:r>
          </w:p>
        </w:tc>
        <w:tc>
          <w:tcPr>
            <w:tcW w:w="1020" w:type="dxa"/>
            <w:tcBorders>
              <w:top w:val="single" w:sz="4" w:space="0" w:color="auto"/>
              <w:left w:val="nil"/>
              <w:bottom w:val="single" w:sz="4" w:space="0" w:color="auto"/>
              <w:right w:val="nil"/>
            </w:tcBorders>
            <w:shd w:val="clear" w:color="auto" w:fill="auto"/>
            <w:noWrap/>
            <w:vAlign w:val="bottom"/>
            <w:hideMark/>
          </w:tcPr>
          <w:p w14:paraId="3CC91A1E"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2016/17</w:t>
            </w:r>
          </w:p>
        </w:tc>
        <w:tc>
          <w:tcPr>
            <w:tcW w:w="1020" w:type="dxa"/>
            <w:tcBorders>
              <w:top w:val="single" w:sz="4" w:space="0" w:color="auto"/>
              <w:left w:val="nil"/>
              <w:bottom w:val="single" w:sz="4" w:space="0" w:color="auto"/>
              <w:right w:val="nil"/>
            </w:tcBorders>
            <w:shd w:val="clear" w:color="auto" w:fill="auto"/>
            <w:noWrap/>
            <w:vAlign w:val="bottom"/>
            <w:hideMark/>
          </w:tcPr>
          <w:p w14:paraId="09FBB696"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2017/18</w:t>
            </w:r>
          </w:p>
        </w:tc>
        <w:tc>
          <w:tcPr>
            <w:tcW w:w="1020" w:type="dxa"/>
            <w:tcBorders>
              <w:top w:val="single" w:sz="4" w:space="0" w:color="auto"/>
              <w:left w:val="nil"/>
              <w:bottom w:val="single" w:sz="4" w:space="0" w:color="auto"/>
              <w:right w:val="nil"/>
            </w:tcBorders>
            <w:shd w:val="clear" w:color="auto" w:fill="auto"/>
            <w:noWrap/>
            <w:vAlign w:val="bottom"/>
            <w:hideMark/>
          </w:tcPr>
          <w:p w14:paraId="18984920"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2018/19</w:t>
            </w:r>
          </w:p>
        </w:tc>
        <w:tc>
          <w:tcPr>
            <w:tcW w:w="1020" w:type="dxa"/>
            <w:tcBorders>
              <w:top w:val="single" w:sz="4" w:space="0" w:color="auto"/>
              <w:left w:val="nil"/>
              <w:bottom w:val="single" w:sz="4" w:space="0" w:color="auto"/>
              <w:right w:val="nil"/>
            </w:tcBorders>
            <w:shd w:val="clear" w:color="auto" w:fill="auto"/>
            <w:noWrap/>
            <w:vAlign w:val="bottom"/>
            <w:hideMark/>
          </w:tcPr>
          <w:p w14:paraId="2539FFAF"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D1292BF"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2020/21</w:t>
            </w:r>
          </w:p>
        </w:tc>
      </w:tr>
      <w:tr w:rsidR="00CF2B45" w:rsidRPr="00CF2B45" w14:paraId="1E348E08" w14:textId="77777777" w:rsidTr="006C19B1">
        <w:trPr>
          <w:trHeight w:val="300"/>
        </w:trPr>
        <w:tc>
          <w:tcPr>
            <w:tcW w:w="3148" w:type="dxa"/>
            <w:tcBorders>
              <w:top w:val="nil"/>
              <w:left w:val="single" w:sz="4" w:space="0" w:color="auto"/>
              <w:bottom w:val="nil"/>
              <w:right w:val="nil"/>
            </w:tcBorders>
            <w:shd w:val="clear" w:color="auto" w:fill="auto"/>
            <w:noWrap/>
            <w:vAlign w:val="bottom"/>
            <w:hideMark/>
          </w:tcPr>
          <w:p w14:paraId="3A5B2425" w14:textId="77777777" w:rsidR="00CF2B45" w:rsidRPr="006C19B1" w:rsidRDefault="00CF2B45" w:rsidP="006F1F61">
            <w:pPr>
              <w:spacing w:after="0" w:line="240" w:lineRule="auto"/>
              <w:rPr>
                <w:rFonts w:eastAsia="Times New Roman"/>
                <w:b/>
                <w:bCs/>
                <w:color w:val="000000"/>
                <w:sz w:val="20"/>
                <w:lang w:eastAsia="en-GB"/>
              </w:rPr>
            </w:pPr>
            <w:r w:rsidRPr="006C19B1">
              <w:rPr>
                <w:rFonts w:eastAsia="Times New Roman"/>
                <w:b/>
                <w:bCs/>
                <w:color w:val="000000"/>
                <w:sz w:val="20"/>
                <w:lang w:eastAsia="en-GB"/>
              </w:rPr>
              <w:t>Agriculture &amp; Commercial Services</w:t>
            </w:r>
          </w:p>
        </w:tc>
        <w:tc>
          <w:tcPr>
            <w:tcW w:w="1020" w:type="dxa"/>
            <w:tcBorders>
              <w:top w:val="nil"/>
              <w:left w:val="nil"/>
              <w:bottom w:val="nil"/>
              <w:right w:val="nil"/>
            </w:tcBorders>
            <w:shd w:val="clear" w:color="auto" w:fill="auto"/>
            <w:noWrap/>
            <w:vAlign w:val="bottom"/>
            <w:hideMark/>
          </w:tcPr>
          <w:p w14:paraId="55867B27"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26</w:t>
            </w:r>
          </w:p>
        </w:tc>
        <w:tc>
          <w:tcPr>
            <w:tcW w:w="1020" w:type="dxa"/>
            <w:tcBorders>
              <w:top w:val="nil"/>
              <w:left w:val="nil"/>
              <w:bottom w:val="nil"/>
              <w:right w:val="nil"/>
            </w:tcBorders>
            <w:shd w:val="clear" w:color="auto" w:fill="auto"/>
            <w:noWrap/>
            <w:vAlign w:val="bottom"/>
            <w:hideMark/>
          </w:tcPr>
          <w:p w14:paraId="232F6D99"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26</w:t>
            </w:r>
          </w:p>
        </w:tc>
        <w:tc>
          <w:tcPr>
            <w:tcW w:w="1020" w:type="dxa"/>
            <w:tcBorders>
              <w:top w:val="nil"/>
              <w:left w:val="nil"/>
              <w:bottom w:val="nil"/>
              <w:right w:val="nil"/>
            </w:tcBorders>
            <w:shd w:val="clear" w:color="auto" w:fill="auto"/>
            <w:noWrap/>
            <w:vAlign w:val="bottom"/>
            <w:hideMark/>
          </w:tcPr>
          <w:p w14:paraId="6D8C45AB"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29</w:t>
            </w:r>
          </w:p>
        </w:tc>
        <w:tc>
          <w:tcPr>
            <w:tcW w:w="1020" w:type="dxa"/>
            <w:tcBorders>
              <w:top w:val="nil"/>
              <w:left w:val="nil"/>
              <w:bottom w:val="nil"/>
              <w:right w:val="nil"/>
            </w:tcBorders>
            <w:shd w:val="clear" w:color="auto" w:fill="auto"/>
            <w:noWrap/>
            <w:vAlign w:val="bottom"/>
            <w:hideMark/>
          </w:tcPr>
          <w:p w14:paraId="3959AF14"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32</w:t>
            </w:r>
          </w:p>
        </w:tc>
        <w:tc>
          <w:tcPr>
            <w:tcW w:w="1020" w:type="dxa"/>
            <w:tcBorders>
              <w:top w:val="nil"/>
              <w:left w:val="nil"/>
              <w:bottom w:val="nil"/>
              <w:right w:val="nil"/>
            </w:tcBorders>
            <w:shd w:val="clear" w:color="auto" w:fill="auto"/>
            <w:noWrap/>
            <w:vAlign w:val="bottom"/>
            <w:hideMark/>
          </w:tcPr>
          <w:p w14:paraId="409E52C7"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34</w:t>
            </w:r>
          </w:p>
        </w:tc>
        <w:tc>
          <w:tcPr>
            <w:tcW w:w="1020" w:type="dxa"/>
            <w:tcBorders>
              <w:top w:val="nil"/>
              <w:left w:val="nil"/>
              <w:bottom w:val="nil"/>
              <w:right w:val="single" w:sz="4" w:space="0" w:color="auto"/>
            </w:tcBorders>
            <w:shd w:val="clear" w:color="auto" w:fill="auto"/>
            <w:noWrap/>
            <w:vAlign w:val="bottom"/>
            <w:hideMark/>
          </w:tcPr>
          <w:p w14:paraId="14DA8532"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37</w:t>
            </w:r>
          </w:p>
        </w:tc>
      </w:tr>
      <w:tr w:rsidR="00CF2B45" w:rsidRPr="00CF2B45" w14:paraId="7977BED5" w14:textId="77777777" w:rsidTr="006C19B1">
        <w:trPr>
          <w:trHeight w:val="300"/>
        </w:trPr>
        <w:tc>
          <w:tcPr>
            <w:tcW w:w="3148" w:type="dxa"/>
            <w:tcBorders>
              <w:top w:val="single" w:sz="4" w:space="0" w:color="auto"/>
              <w:left w:val="single" w:sz="4" w:space="0" w:color="auto"/>
              <w:bottom w:val="single" w:sz="4" w:space="0" w:color="auto"/>
              <w:right w:val="nil"/>
            </w:tcBorders>
            <w:shd w:val="clear" w:color="000000" w:fill="D9D9D9"/>
            <w:noWrap/>
            <w:vAlign w:val="bottom"/>
            <w:hideMark/>
          </w:tcPr>
          <w:p w14:paraId="61398B97" w14:textId="77777777" w:rsidR="00CF2B45" w:rsidRPr="006C19B1" w:rsidRDefault="00CF2B45" w:rsidP="006F1F61">
            <w:pPr>
              <w:spacing w:after="0" w:line="240" w:lineRule="auto"/>
              <w:ind w:firstLineChars="100" w:firstLine="200"/>
              <w:rPr>
                <w:rFonts w:eastAsia="Times New Roman"/>
                <w:b/>
                <w:bCs/>
                <w:color w:val="000000"/>
                <w:sz w:val="20"/>
                <w:lang w:eastAsia="en-GB"/>
              </w:rPr>
            </w:pPr>
            <w:r w:rsidRPr="006C19B1">
              <w:rPr>
                <w:rFonts w:eastAsia="Times New Roman"/>
                <w:b/>
                <w:bCs/>
                <w:color w:val="000000"/>
                <w:sz w:val="20"/>
                <w:lang w:eastAsia="en-GB"/>
              </w:rPr>
              <w:t>Wage Conditional Grant</w:t>
            </w:r>
          </w:p>
        </w:tc>
        <w:tc>
          <w:tcPr>
            <w:tcW w:w="1020" w:type="dxa"/>
            <w:tcBorders>
              <w:top w:val="single" w:sz="4" w:space="0" w:color="auto"/>
              <w:left w:val="nil"/>
              <w:bottom w:val="single" w:sz="4" w:space="0" w:color="auto"/>
              <w:right w:val="nil"/>
            </w:tcBorders>
            <w:shd w:val="clear" w:color="000000" w:fill="D9D9D9"/>
            <w:noWrap/>
            <w:vAlign w:val="bottom"/>
            <w:hideMark/>
          </w:tcPr>
          <w:p w14:paraId="77AD1304"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16</w:t>
            </w:r>
          </w:p>
        </w:tc>
        <w:tc>
          <w:tcPr>
            <w:tcW w:w="1020" w:type="dxa"/>
            <w:tcBorders>
              <w:top w:val="single" w:sz="4" w:space="0" w:color="auto"/>
              <w:left w:val="nil"/>
              <w:bottom w:val="single" w:sz="4" w:space="0" w:color="auto"/>
              <w:right w:val="nil"/>
            </w:tcBorders>
            <w:shd w:val="clear" w:color="000000" w:fill="D9D9D9"/>
            <w:noWrap/>
            <w:vAlign w:val="bottom"/>
            <w:hideMark/>
          </w:tcPr>
          <w:p w14:paraId="45BF87A0"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16</w:t>
            </w:r>
          </w:p>
        </w:tc>
        <w:tc>
          <w:tcPr>
            <w:tcW w:w="1020" w:type="dxa"/>
            <w:tcBorders>
              <w:top w:val="single" w:sz="4" w:space="0" w:color="auto"/>
              <w:left w:val="nil"/>
              <w:bottom w:val="single" w:sz="4" w:space="0" w:color="auto"/>
              <w:right w:val="nil"/>
            </w:tcBorders>
            <w:shd w:val="clear" w:color="000000" w:fill="D9D9D9"/>
            <w:noWrap/>
            <w:vAlign w:val="bottom"/>
            <w:hideMark/>
          </w:tcPr>
          <w:p w14:paraId="5FC2D2AD"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17</w:t>
            </w:r>
          </w:p>
        </w:tc>
        <w:tc>
          <w:tcPr>
            <w:tcW w:w="1020" w:type="dxa"/>
            <w:tcBorders>
              <w:top w:val="single" w:sz="4" w:space="0" w:color="auto"/>
              <w:left w:val="nil"/>
              <w:bottom w:val="single" w:sz="4" w:space="0" w:color="auto"/>
              <w:right w:val="nil"/>
            </w:tcBorders>
            <w:shd w:val="clear" w:color="000000" w:fill="D9D9D9"/>
            <w:noWrap/>
            <w:vAlign w:val="bottom"/>
            <w:hideMark/>
          </w:tcPr>
          <w:p w14:paraId="5019109C"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18</w:t>
            </w:r>
          </w:p>
        </w:tc>
        <w:tc>
          <w:tcPr>
            <w:tcW w:w="1020" w:type="dxa"/>
            <w:tcBorders>
              <w:top w:val="single" w:sz="4" w:space="0" w:color="auto"/>
              <w:left w:val="nil"/>
              <w:bottom w:val="single" w:sz="4" w:space="0" w:color="auto"/>
              <w:right w:val="nil"/>
            </w:tcBorders>
            <w:shd w:val="clear" w:color="000000" w:fill="D9D9D9"/>
            <w:noWrap/>
            <w:vAlign w:val="bottom"/>
            <w:hideMark/>
          </w:tcPr>
          <w:p w14:paraId="6C9F21BC"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19</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14:paraId="2FDE2D2C"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20</w:t>
            </w:r>
          </w:p>
        </w:tc>
      </w:tr>
      <w:tr w:rsidR="00CF2B45" w:rsidRPr="00CF2B45" w14:paraId="24DA9911" w14:textId="77777777" w:rsidTr="006C19B1">
        <w:trPr>
          <w:trHeight w:val="300"/>
        </w:trPr>
        <w:tc>
          <w:tcPr>
            <w:tcW w:w="3148" w:type="dxa"/>
            <w:tcBorders>
              <w:top w:val="nil"/>
              <w:left w:val="single" w:sz="4" w:space="0" w:color="auto"/>
              <w:bottom w:val="nil"/>
              <w:right w:val="nil"/>
            </w:tcBorders>
            <w:shd w:val="clear" w:color="auto" w:fill="auto"/>
            <w:noWrap/>
            <w:vAlign w:val="bottom"/>
            <w:hideMark/>
          </w:tcPr>
          <w:p w14:paraId="01E0E705" w14:textId="77777777" w:rsidR="00CF2B45" w:rsidRPr="006C19B1" w:rsidRDefault="00CF2B45" w:rsidP="006F1F61">
            <w:pPr>
              <w:spacing w:after="0" w:line="240" w:lineRule="auto"/>
              <w:ind w:firstLineChars="100" w:firstLine="200"/>
              <w:rPr>
                <w:rFonts w:eastAsia="Times New Roman"/>
                <w:i/>
                <w:iCs/>
                <w:color w:val="000000"/>
                <w:sz w:val="20"/>
                <w:lang w:eastAsia="en-GB"/>
              </w:rPr>
            </w:pPr>
            <w:r w:rsidRPr="006C19B1">
              <w:rPr>
                <w:rFonts w:eastAsia="Times New Roman"/>
                <w:i/>
                <w:iCs/>
                <w:color w:val="000000"/>
                <w:sz w:val="20"/>
                <w:lang w:eastAsia="en-GB"/>
              </w:rPr>
              <w:t>% formula usage</w:t>
            </w:r>
          </w:p>
        </w:tc>
        <w:tc>
          <w:tcPr>
            <w:tcW w:w="1020" w:type="dxa"/>
            <w:tcBorders>
              <w:top w:val="nil"/>
              <w:left w:val="nil"/>
              <w:bottom w:val="nil"/>
              <w:right w:val="nil"/>
            </w:tcBorders>
            <w:shd w:val="clear" w:color="auto" w:fill="auto"/>
            <w:noWrap/>
            <w:vAlign w:val="bottom"/>
            <w:hideMark/>
          </w:tcPr>
          <w:p w14:paraId="2C0B6530"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w:t>
            </w:r>
          </w:p>
        </w:tc>
        <w:tc>
          <w:tcPr>
            <w:tcW w:w="1020" w:type="dxa"/>
            <w:tcBorders>
              <w:top w:val="nil"/>
              <w:left w:val="nil"/>
              <w:bottom w:val="nil"/>
              <w:right w:val="nil"/>
            </w:tcBorders>
            <w:shd w:val="clear" w:color="auto" w:fill="auto"/>
            <w:noWrap/>
            <w:vAlign w:val="bottom"/>
            <w:hideMark/>
          </w:tcPr>
          <w:p w14:paraId="4C35A906"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0%</w:t>
            </w:r>
          </w:p>
        </w:tc>
        <w:tc>
          <w:tcPr>
            <w:tcW w:w="1020" w:type="dxa"/>
            <w:tcBorders>
              <w:top w:val="nil"/>
              <w:left w:val="nil"/>
              <w:bottom w:val="nil"/>
              <w:right w:val="nil"/>
            </w:tcBorders>
            <w:shd w:val="clear" w:color="auto" w:fill="auto"/>
            <w:noWrap/>
            <w:vAlign w:val="bottom"/>
            <w:hideMark/>
          </w:tcPr>
          <w:p w14:paraId="41A219B4"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10%</w:t>
            </w:r>
          </w:p>
        </w:tc>
        <w:tc>
          <w:tcPr>
            <w:tcW w:w="1020" w:type="dxa"/>
            <w:tcBorders>
              <w:top w:val="nil"/>
              <w:left w:val="nil"/>
              <w:bottom w:val="nil"/>
              <w:right w:val="nil"/>
            </w:tcBorders>
            <w:shd w:val="clear" w:color="auto" w:fill="auto"/>
            <w:noWrap/>
            <w:vAlign w:val="bottom"/>
            <w:hideMark/>
          </w:tcPr>
          <w:p w14:paraId="02C0F605"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20%</w:t>
            </w:r>
          </w:p>
        </w:tc>
        <w:tc>
          <w:tcPr>
            <w:tcW w:w="1020" w:type="dxa"/>
            <w:tcBorders>
              <w:top w:val="nil"/>
              <w:left w:val="nil"/>
              <w:bottom w:val="nil"/>
              <w:right w:val="nil"/>
            </w:tcBorders>
            <w:shd w:val="clear" w:color="auto" w:fill="auto"/>
            <w:noWrap/>
            <w:vAlign w:val="bottom"/>
            <w:hideMark/>
          </w:tcPr>
          <w:p w14:paraId="3FAAD94F"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30%</w:t>
            </w:r>
          </w:p>
        </w:tc>
        <w:tc>
          <w:tcPr>
            <w:tcW w:w="1020" w:type="dxa"/>
            <w:tcBorders>
              <w:top w:val="nil"/>
              <w:left w:val="nil"/>
              <w:bottom w:val="nil"/>
              <w:right w:val="single" w:sz="4" w:space="0" w:color="auto"/>
            </w:tcBorders>
            <w:shd w:val="clear" w:color="auto" w:fill="auto"/>
            <w:noWrap/>
            <w:vAlign w:val="bottom"/>
            <w:hideMark/>
          </w:tcPr>
          <w:p w14:paraId="185F8E16"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40%</w:t>
            </w:r>
          </w:p>
        </w:tc>
      </w:tr>
      <w:tr w:rsidR="00CF2B45" w:rsidRPr="00CF2B45" w14:paraId="62295E18" w14:textId="77777777" w:rsidTr="006C19B1">
        <w:trPr>
          <w:trHeight w:val="300"/>
        </w:trPr>
        <w:tc>
          <w:tcPr>
            <w:tcW w:w="3148" w:type="dxa"/>
            <w:tcBorders>
              <w:top w:val="single" w:sz="4" w:space="0" w:color="auto"/>
              <w:left w:val="single" w:sz="4" w:space="0" w:color="auto"/>
              <w:bottom w:val="single" w:sz="4" w:space="0" w:color="auto"/>
              <w:right w:val="nil"/>
            </w:tcBorders>
            <w:shd w:val="clear" w:color="000000" w:fill="D9D9D9"/>
            <w:noWrap/>
            <w:vAlign w:val="bottom"/>
            <w:hideMark/>
          </w:tcPr>
          <w:p w14:paraId="712EE80E" w14:textId="77777777" w:rsidR="00CF2B45" w:rsidRPr="006C19B1" w:rsidRDefault="00CF2B45" w:rsidP="006F1F61">
            <w:pPr>
              <w:spacing w:after="0" w:line="240" w:lineRule="auto"/>
              <w:ind w:firstLineChars="100" w:firstLine="200"/>
              <w:rPr>
                <w:rFonts w:eastAsia="Times New Roman"/>
                <w:b/>
                <w:bCs/>
                <w:color w:val="000000"/>
                <w:sz w:val="20"/>
                <w:lang w:eastAsia="en-GB"/>
              </w:rPr>
            </w:pPr>
            <w:r w:rsidRPr="006C19B1">
              <w:rPr>
                <w:rFonts w:eastAsia="Times New Roman"/>
                <w:b/>
                <w:bCs/>
                <w:color w:val="000000"/>
                <w:sz w:val="20"/>
                <w:lang w:eastAsia="en-GB"/>
              </w:rPr>
              <w:t>NWR Conditional Grant</w:t>
            </w:r>
          </w:p>
        </w:tc>
        <w:tc>
          <w:tcPr>
            <w:tcW w:w="1020" w:type="dxa"/>
            <w:tcBorders>
              <w:top w:val="single" w:sz="4" w:space="0" w:color="auto"/>
              <w:left w:val="nil"/>
              <w:bottom w:val="single" w:sz="4" w:space="0" w:color="auto"/>
              <w:right w:val="nil"/>
            </w:tcBorders>
            <w:shd w:val="clear" w:color="000000" w:fill="D9D9D9"/>
            <w:noWrap/>
            <w:vAlign w:val="bottom"/>
            <w:hideMark/>
          </w:tcPr>
          <w:p w14:paraId="2F895AD9"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10</w:t>
            </w:r>
          </w:p>
        </w:tc>
        <w:tc>
          <w:tcPr>
            <w:tcW w:w="1020" w:type="dxa"/>
            <w:tcBorders>
              <w:top w:val="single" w:sz="4" w:space="0" w:color="auto"/>
              <w:left w:val="nil"/>
              <w:bottom w:val="single" w:sz="4" w:space="0" w:color="auto"/>
              <w:right w:val="nil"/>
            </w:tcBorders>
            <w:shd w:val="clear" w:color="000000" w:fill="D9D9D9"/>
            <w:noWrap/>
            <w:vAlign w:val="bottom"/>
            <w:hideMark/>
          </w:tcPr>
          <w:p w14:paraId="436EF0C0"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10</w:t>
            </w:r>
          </w:p>
        </w:tc>
        <w:tc>
          <w:tcPr>
            <w:tcW w:w="1020" w:type="dxa"/>
            <w:tcBorders>
              <w:top w:val="single" w:sz="4" w:space="0" w:color="auto"/>
              <w:left w:val="nil"/>
              <w:bottom w:val="single" w:sz="4" w:space="0" w:color="auto"/>
              <w:right w:val="nil"/>
            </w:tcBorders>
            <w:shd w:val="clear" w:color="000000" w:fill="D9D9D9"/>
            <w:noWrap/>
            <w:vAlign w:val="bottom"/>
            <w:hideMark/>
          </w:tcPr>
          <w:p w14:paraId="1216DF41"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12</w:t>
            </w:r>
          </w:p>
        </w:tc>
        <w:tc>
          <w:tcPr>
            <w:tcW w:w="1020" w:type="dxa"/>
            <w:tcBorders>
              <w:top w:val="single" w:sz="4" w:space="0" w:color="auto"/>
              <w:left w:val="nil"/>
              <w:bottom w:val="single" w:sz="4" w:space="0" w:color="auto"/>
              <w:right w:val="nil"/>
            </w:tcBorders>
            <w:shd w:val="clear" w:color="000000" w:fill="D9D9D9"/>
            <w:noWrap/>
            <w:vAlign w:val="bottom"/>
            <w:hideMark/>
          </w:tcPr>
          <w:p w14:paraId="127F6A80"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14</w:t>
            </w:r>
          </w:p>
        </w:tc>
        <w:tc>
          <w:tcPr>
            <w:tcW w:w="1020" w:type="dxa"/>
            <w:tcBorders>
              <w:top w:val="single" w:sz="4" w:space="0" w:color="auto"/>
              <w:left w:val="nil"/>
              <w:bottom w:val="single" w:sz="4" w:space="0" w:color="auto"/>
              <w:right w:val="nil"/>
            </w:tcBorders>
            <w:shd w:val="clear" w:color="000000" w:fill="D9D9D9"/>
            <w:noWrap/>
            <w:vAlign w:val="bottom"/>
            <w:hideMark/>
          </w:tcPr>
          <w:p w14:paraId="3D257895"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15</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14:paraId="618FBBED" w14:textId="77777777" w:rsidR="00CF2B45" w:rsidRPr="006C19B1" w:rsidRDefault="00CF2B45" w:rsidP="006F1F61">
            <w:pPr>
              <w:spacing w:after="0" w:line="240" w:lineRule="auto"/>
              <w:jc w:val="right"/>
              <w:rPr>
                <w:rFonts w:eastAsia="Times New Roman"/>
                <w:b/>
                <w:bCs/>
                <w:color w:val="000000"/>
                <w:sz w:val="20"/>
                <w:lang w:eastAsia="en-GB"/>
              </w:rPr>
            </w:pPr>
            <w:r w:rsidRPr="006C19B1">
              <w:rPr>
                <w:rFonts w:eastAsia="Times New Roman"/>
                <w:b/>
                <w:bCs/>
                <w:color w:val="000000"/>
                <w:sz w:val="20"/>
                <w:lang w:eastAsia="en-GB"/>
              </w:rPr>
              <w:t>17</w:t>
            </w:r>
          </w:p>
        </w:tc>
      </w:tr>
      <w:tr w:rsidR="00CF2B45" w:rsidRPr="00CF2B45" w14:paraId="1D783711" w14:textId="77777777" w:rsidTr="006C19B1">
        <w:trPr>
          <w:trHeight w:val="300"/>
        </w:trPr>
        <w:tc>
          <w:tcPr>
            <w:tcW w:w="3148" w:type="dxa"/>
            <w:tcBorders>
              <w:top w:val="nil"/>
              <w:left w:val="single" w:sz="4" w:space="0" w:color="auto"/>
              <w:bottom w:val="single" w:sz="4" w:space="0" w:color="auto"/>
              <w:right w:val="nil"/>
            </w:tcBorders>
            <w:shd w:val="clear" w:color="auto" w:fill="auto"/>
            <w:noWrap/>
            <w:vAlign w:val="bottom"/>
            <w:hideMark/>
          </w:tcPr>
          <w:p w14:paraId="680BA73E" w14:textId="77777777" w:rsidR="00CF2B45" w:rsidRPr="006C19B1" w:rsidRDefault="00CF2B45" w:rsidP="006F1F61">
            <w:pPr>
              <w:spacing w:after="0" w:line="240" w:lineRule="auto"/>
              <w:ind w:firstLineChars="100" w:firstLine="200"/>
              <w:rPr>
                <w:rFonts w:eastAsia="Times New Roman"/>
                <w:i/>
                <w:iCs/>
                <w:color w:val="000000"/>
                <w:sz w:val="20"/>
                <w:lang w:eastAsia="en-GB"/>
              </w:rPr>
            </w:pPr>
            <w:r w:rsidRPr="006C19B1">
              <w:rPr>
                <w:rFonts w:eastAsia="Times New Roman"/>
                <w:i/>
                <w:iCs/>
                <w:color w:val="000000"/>
                <w:sz w:val="20"/>
                <w:lang w:eastAsia="en-GB"/>
              </w:rPr>
              <w:t>% formula usage</w:t>
            </w:r>
          </w:p>
        </w:tc>
        <w:tc>
          <w:tcPr>
            <w:tcW w:w="1020" w:type="dxa"/>
            <w:tcBorders>
              <w:top w:val="nil"/>
              <w:left w:val="nil"/>
              <w:bottom w:val="single" w:sz="4" w:space="0" w:color="auto"/>
              <w:right w:val="nil"/>
            </w:tcBorders>
            <w:shd w:val="clear" w:color="auto" w:fill="auto"/>
            <w:noWrap/>
            <w:vAlign w:val="bottom"/>
            <w:hideMark/>
          </w:tcPr>
          <w:p w14:paraId="221BDE46"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w:t>
            </w:r>
          </w:p>
        </w:tc>
        <w:tc>
          <w:tcPr>
            <w:tcW w:w="1020" w:type="dxa"/>
            <w:tcBorders>
              <w:top w:val="nil"/>
              <w:left w:val="nil"/>
              <w:bottom w:val="single" w:sz="4" w:space="0" w:color="auto"/>
              <w:right w:val="nil"/>
            </w:tcBorders>
            <w:shd w:val="clear" w:color="auto" w:fill="auto"/>
            <w:noWrap/>
            <w:vAlign w:val="bottom"/>
            <w:hideMark/>
          </w:tcPr>
          <w:p w14:paraId="222AFAB9"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20%</w:t>
            </w:r>
          </w:p>
        </w:tc>
        <w:tc>
          <w:tcPr>
            <w:tcW w:w="1020" w:type="dxa"/>
            <w:tcBorders>
              <w:top w:val="nil"/>
              <w:left w:val="nil"/>
              <w:bottom w:val="single" w:sz="4" w:space="0" w:color="auto"/>
              <w:right w:val="nil"/>
            </w:tcBorders>
            <w:shd w:val="clear" w:color="auto" w:fill="auto"/>
            <w:noWrap/>
            <w:vAlign w:val="bottom"/>
            <w:hideMark/>
          </w:tcPr>
          <w:p w14:paraId="65E15622"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40%</w:t>
            </w:r>
          </w:p>
        </w:tc>
        <w:tc>
          <w:tcPr>
            <w:tcW w:w="1020" w:type="dxa"/>
            <w:tcBorders>
              <w:top w:val="nil"/>
              <w:left w:val="nil"/>
              <w:bottom w:val="single" w:sz="4" w:space="0" w:color="auto"/>
              <w:right w:val="nil"/>
            </w:tcBorders>
            <w:shd w:val="clear" w:color="auto" w:fill="auto"/>
            <w:noWrap/>
            <w:vAlign w:val="bottom"/>
            <w:hideMark/>
          </w:tcPr>
          <w:p w14:paraId="10B248C5"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70%</w:t>
            </w:r>
          </w:p>
        </w:tc>
        <w:tc>
          <w:tcPr>
            <w:tcW w:w="1020" w:type="dxa"/>
            <w:tcBorders>
              <w:top w:val="nil"/>
              <w:left w:val="nil"/>
              <w:bottom w:val="single" w:sz="4" w:space="0" w:color="auto"/>
              <w:right w:val="nil"/>
            </w:tcBorders>
            <w:shd w:val="clear" w:color="auto" w:fill="auto"/>
            <w:noWrap/>
            <w:vAlign w:val="bottom"/>
            <w:hideMark/>
          </w:tcPr>
          <w:p w14:paraId="229E6F0E"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33173C7C" w14:textId="77777777" w:rsidR="00CF2B45" w:rsidRPr="006C19B1" w:rsidRDefault="00CF2B45" w:rsidP="006F1F61">
            <w:pPr>
              <w:spacing w:after="0" w:line="240" w:lineRule="auto"/>
              <w:jc w:val="right"/>
              <w:rPr>
                <w:rFonts w:eastAsia="Times New Roman"/>
                <w:i/>
                <w:iCs/>
                <w:color w:val="000000"/>
                <w:sz w:val="20"/>
                <w:lang w:eastAsia="en-GB"/>
              </w:rPr>
            </w:pPr>
            <w:r w:rsidRPr="006C19B1">
              <w:rPr>
                <w:rFonts w:eastAsia="Times New Roman"/>
                <w:i/>
                <w:iCs/>
                <w:color w:val="000000"/>
                <w:sz w:val="20"/>
                <w:lang w:eastAsia="en-GB"/>
              </w:rPr>
              <w:t>100%</w:t>
            </w:r>
          </w:p>
        </w:tc>
      </w:tr>
    </w:tbl>
    <w:p w14:paraId="0AD6EE41" w14:textId="77777777" w:rsidR="00BA2A16" w:rsidRPr="009553A0" w:rsidRDefault="00BA2A16" w:rsidP="00C41C05">
      <w:pPr>
        <w:rPr>
          <w:color w:val="000000" w:themeColor="text1"/>
        </w:rPr>
      </w:pPr>
    </w:p>
    <w:p w14:paraId="727EEC2E" w14:textId="77777777" w:rsidR="000647EB" w:rsidRPr="004618AA" w:rsidRDefault="000647EB" w:rsidP="007C7C52">
      <w:pPr>
        <w:pStyle w:val="Heading2"/>
      </w:pPr>
      <w:r w:rsidRPr="004618AA">
        <w:t xml:space="preserve">Overview of </w:t>
      </w:r>
      <w:r w:rsidR="00BA10E0" w:rsidRPr="004618AA">
        <w:t xml:space="preserve">Sector </w:t>
      </w:r>
      <w:r w:rsidR="00735A71">
        <w:t xml:space="preserve">Budget </w:t>
      </w:r>
      <w:r w:rsidRPr="004618AA">
        <w:t>Requirements</w:t>
      </w:r>
    </w:p>
    <w:p w14:paraId="0A37A63D" w14:textId="77777777" w:rsidR="000647EB" w:rsidRDefault="000647EB" w:rsidP="000647EB">
      <w:r>
        <w:t>In order to access conditional grant funding local governments are required to adhere to a number of specific requirements relating to the relevant sector budgets.  These are specified in the following sections, and are summarised in the table below</w:t>
      </w:r>
    </w:p>
    <w:tbl>
      <w:tblPr>
        <w:tblStyle w:val="TableGrid"/>
        <w:tblW w:w="5000" w:type="pct"/>
        <w:tblLook w:val="04A0" w:firstRow="1" w:lastRow="0" w:firstColumn="1" w:lastColumn="0" w:noHBand="0" w:noVBand="1"/>
      </w:tblPr>
      <w:tblGrid>
        <w:gridCol w:w="2696"/>
        <w:gridCol w:w="6320"/>
      </w:tblGrid>
      <w:tr w:rsidR="00BA2A16" w14:paraId="38F12F58" w14:textId="77777777" w:rsidTr="00BA2A16">
        <w:trPr>
          <w:tblHeader/>
        </w:trPr>
        <w:tc>
          <w:tcPr>
            <w:tcW w:w="1495" w:type="pct"/>
            <w:shd w:val="clear" w:color="auto" w:fill="E7E6E6" w:themeFill="background2"/>
          </w:tcPr>
          <w:p w14:paraId="2371C495" w14:textId="77777777" w:rsidR="00BA2A16" w:rsidRDefault="00BA2A16" w:rsidP="00BA2A16">
            <w:pPr>
              <w:tabs>
                <w:tab w:val="left" w:pos="438"/>
              </w:tabs>
            </w:pPr>
            <w:r>
              <w:t>Grant</w:t>
            </w:r>
          </w:p>
        </w:tc>
        <w:tc>
          <w:tcPr>
            <w:tcW w:w="3505" w:type="pct"/>
            <w:shd w:val="clear" w:color="auto" w:fill="E7E6E6" w:themeFill="background2"/>
          </w:tcPr>
          <w:p w14:paraId="5E8F4259" w14:textId="77777777" w:rsidR="00BA2A16" w:rsidRDefault="00BA2A16" w:rsidP="00BA2A16">
            <w:pPr>
              <w:tabs>
                <w:tab w:val="left" w:pos="438"/>
              </w:tabs>
            </w:pPr>
            <w:r>
              <w:t>Summary of Requirements</w:t>
            </w:r>
          </w:p>
        </w:tc>
      </w:tr>
      <w:tr w:rsidR="00BA2A16" w:rsidRPr="0004273B" w14:paraId="11AB0C74" w14:textId="77777777" w:rsidTr="00BA2A16">
        <w:tc>
          <w:tcPr>
            <w:tcW w:w="1495" w:type="pct"/>
            <w:shd w:val="clear" w:color="auto" w:fill="auto"/>
          </w:tcPr>
          <w:p w14:paraId="17B202BC" w14:textId="77777777" w:rsidR="00BA2A16" w:rsidRPr="00BA10E0" w:rsidRDefault="00BA2A16" w:rsidP="00BA2A16">
            <w:pPr>
              <w:tabs>
                <w:tab w:val="left" w:pos="438"/>
              </w:tabs>
              <w:rPr>
                <w:b/>
              </w:rPr>
            </w:pPr>
            <w:r w:rsidRPr="00BA10E0">
              <w:rPr>
                <w:b/>
              </w:rPr>
              <w:t>Budget Requirements</w:t>
            </w:r>
          </w:p>
        </w:tc>
        <w:tc>
          <w:tcPr>
            <w:tcW w:w="3505" w:type="pct"/>
          </w:tcPr>
          <w:p w14:paraId="231FAFE1" w14:textId="77777777" w:rsidR="00BA2A16" w:rsidRPr="0004273B" w:rsidRDefault="00BA2A16" w:rsidP="00BA2A16">
            <w:pPr>
              <w:tabs>
                <w:tab w:val="left" w:pos="438"/>
              </w:tabs>
            </w:pPr>
          </w:p>
        </w:tc>
      </w:tr>
      <w:tr w:rsidR="00BA2A16" w:rsidRPr="00536ED8" w14:paraId="5317B133" w14:textId="77777777" w:rsidTr="00BA2A16">
        <w:tc>
          <w:tcPr>
            <w:tcW w:w="1495" w:type="pct"/>
            <w:shd w:val="clear" w:color="auto" w:fill="auto"/>
          </w:tcPr>
          <w:p w14:paraId="6A097D14" w14:textId="77777777" w:rsidR="00BA2A16" w:rsidRPr="007C7289" w:rsidRDefault="00BA2A16" w:rsidP="00BA2A16">
            <w:pPr>
              <w:tabs>
                <w:tab w:val="left" w:pos="438"/>
              </w:tabs>
              <w:jc w:val="both"/>
              <w:rPr>
                <w:i/>
                <w:color w:val="000000" w:themeColor="text1"/>
              </w:rPr>
            </w:pPr>
            <w:r w:rsidRPr="007C7289">
              <w:rPr>
                <w:i/>
                <w:color w:val="000000" w:themeColor="text1"/>
              </w:rPr>
              <w:t>Recurrent</w:t>
            </w:r>
          </w:p>
        </w:tc>
        <w:tc>
          <w:tcPr>
            <w:tcW w:w="3505" w:type="pct"/>
          </w:tcPr>
          <w:p w14:paraId="09105849" w14:textId="77777777" w:rsidR="00BA2A16" w:rsidRDefault="00BA2A16" w:rsidP="00BA2A16">
            <w:pPr>
              <w:tabs>
                <w:tab w:val="left" w:pos="438"/>
              </w:tabs>
              <w:jc w:val="both"/>
              <w:rPr>
                <w:b/>
                <w:color w:val="000000" w:themeColor="text1"/>
              </w:rPr>
            </w:pPr>
          </w:p>
        </w:tc>
      </w:tr>
      <w:tr w:rsidR="00BA2A16" w:rsidRPr="00536ED8" w14:paraId="44D7D390" w14:textId="77777777" w:rsidTr="00BA2A16">
        <w:tc>
          <w:tcPr>
            <w:tcW w:w="1495" w:type="pct"/>
            <w:shd w:val="clear" w:color="auto" w:fill="auto"/>
          </w:tcPr>
          <w:p w14:paraId="4EF5D2B5" w14:textId="77777777" w:rsidR="00BA2A16" w:rsidRPr="007C7289" w:rsidRDefault="00BA2A16" w:rsidP="00BA2A16">
            <w:pPr>
              <w:tabs>
                <w:tab w:val="left" w:pos="438"/>
              </w:tabs>
              <w:jc w:val="both"/>
              <w:rPr>
                <w:color w:val="000000" w:themeColor="text1"/>
              </w:rPr>
            </w:pPr>
            <w:r w:rsidRPr="007C7289">
              <w:rPr>
                <w:color w:val="000000" w:themeColor="text1"/>
              </w:rPr>
              <w:t>Salaries</w:t>
            </w:r>
          </w:p>
          <w:p w14:paraId="47A15A25" w14:textId="77777777" w:rsidR="00BA2A16" w:rsidRPr="007C7289" w:rsidRDefault="00BA2A16" w:rsidP="00BA2A16">
            <w:pPr>
              <w:tabs>
                <w:tab w:val="left" w:pos="438"/>
              </w:tabs>
              <w:jc w:val="both"/>
              <w:rPr>
                <w:color w:val="000000" w:themeColor="text1"/>
              </w:rPr>
            </w:pPr>
          </w:p>
        </w:tc>
        <w:tc>
          <w:tcPr>
            <w:tcW w:w="3505" w:type="pct"/>
          </w:tcPr>
          <w:p w14:paraId="40739C00" w14:textId="77777777" w:rsidR="004005DA" w:rsidRDefault="00BA2A16" w:rsidP="00BA2A16">
            <w:pPr>
              <w:tabs>
                <w:tab w:val="left" w:pos="438"/>
              </w:tabs>
              <w:jc w:val="both"/>
              <w:rPr>
                <w:color w:val="000000" w:themeColor="text1"/>
              </w:rPr>
            </w:pPr>
            <w:r w:rsidRPr="00943D9D">
              <w:rPr>
                <w:color w:val="000000" w:themeColor="text1"/>
              </w:rPr>
              <w:t>Salaries</w:t>
            </w:r>
            <w:r w:rsidR="004005DA">
              <w:rPr>
                <w:color w:val="000000" w:themeColor="text1"/>
              </w:rPr>
              <w:t xml:space="preserve"> for district/municipality staff</w:t>
            </w:r>
            <w:r w:rsidRPr="00943D9D">
              <w:rPr>
                <w:color w:val="000000" w:themeColor="text1"/>
              </w:rPr>
              <w:t xml:space="preserve"> will be paid out of the wage unconditional grant. </w:t>
            </w:r>
          </w:p>
          <w:p w14:paraId="450A2C19" w14:textId="77777777" w:rsidR="004005DA" w:rsidRPr="00943D9D" w:rsidRDefault="004005DA" w:rsidP="004005DA">
            <w:pPr>
              <w:pStyle w:val="ListParagraph"/>
              <w:numPr>
                <w:ilvl w:val="0"/>
                <w:numId w:val="42"/>
              </w:numPr>
              <w:tabs>
                <w:tab w:val="left" w:pos="438"/>
              </w:tabs>
              <w:jc w:val="both"/>
              <w:rPr>
                <w:color w:val="000000" w:themeColor="text1"/>
              </w:rPr>
            </w:pPr>
            <w:r w:rsidRPr="00943D9D">
              <w:rPr>
                <w:color w:val="000000" w:themeColor="text1"/>
              </w:rPr>
              <w:t>For District Local Governments</w:t>
            </w:r>
            <w:r>
              <w:rPr>
                <w:color w:val="000000" w:themeColor="text1"/>
              </w:rPr>
              <w:t>:</w:t>
            </w:r>
            <w:r w:rsidRPr="00943D9D">
              <w:rPr>
                <w:color w:val="000000" w:themeColor="text1"/>
              </w:rPr>
              <w:t xml:space="preserve"> budget for at least 1 staff in each of the 4 sub-departments including </w:t>
            </w:r>
            <w:r>
              <w:rPr>
                <w:color w:val="000000" w:themeColor="text1"/>
              </w:rPr>
              <w:t>a commercial officer.</w:t>
            </w:r>
          </w:p>
          <w:p w14:paraId="324A9094" w14:textId="77777777" w:rsidR="004005DA" w:rsidRPr="00943D9D" w:rsidRDefault="004005DA" w:rsidP="004005DA">
            <w:pPr>
              <w:pStyle w:val="ListParagraph"/>
              <w:numPr>
                <w:ilvl w:val="0"/>
                <w:numId w:val="42"/>
              </w:numPr>
              <w:tabs>
                <w:tab w:val="left" w:pos="438"/>
              </w:tabs>
              <w:jc w:val="both"/>
              <w:rPr>
                <w:color w:val="000000" w:themeColor="text1"/>
              </w:rPr>
            </w:pPr>
            <w:r w:rsidRPr="00943D9D">
              <w:rPr>
                <w:color w:val="000000" w:themeColor="text1"/>
              </w:rPr>
              <w:t xml:space="preserve">For Municipalities: provide </w:t>
            </w:r>
            <w:r>
              <w:rPr>
                <w:color w:val="000000" w:themeColor="text1"/>
              </w:rPr>
              <w:t>for 1</w:t>
            </w:r>
            <w:r w:rsidRPr="00943D9D">
              <w:rPr>
                <w:color w:val="000000" w:themeColor="text1"/>
              </w:rPr>
              <w:t xml:space="preserve"> </w:t>
            </w:r>
            <w:r>
              <w:rPr>
                <w:color w:val="000000" w:themeColor="text1"/>
              </w:rPr>
              <w:t>veterinary officer</w:t>
            </w:r>
            <w:r w:rsidRPr="00943D9D">
              <w:rPr>
                <w:color w:val="000000" w:themeColor="text1"/>
              </w:rPr>
              <w:t xml:space="preserve"> and </w:t>
            </w:r>
            <w:r>
              <w:rPr>
                <w:color w:val="000000" w:themeColor="text1"/>
              </w:rPr>
              <w:t>1</w:t>
            </w:r>
            <w:r w:rsidRPr="00943D9D">
              <w:rPr>
                <w:color w:val="000000" w:themeColor="text1"/>
              </w:rPr>
              <w:t xml:space="preserve"> agronomist. </w:t>
            </w:r>
          </w:p>
          <w:p w14:paraId="12CFB2C7" w14:textId="77777777" w:rsidR="004005DA" w:rsidRDefault="004005DA" w:rsidP="00BA2A16">
            <w:pPr>
              <w:tabs>
                <w:tab w:val="left" w:pos="438"/>
              </w:tabs>
              <w:jc w:val="both"/>
              <w:rPr>
                <w:color w:val="000000" w:themeColor="text1"/>
              </w:rPr>
            </w:pPr>
          </w:p>
          <w:p w14:paraId="140C28F7" w14:textId="1B5D7E60" w:rsidR="00BA2A16" w:rsidRPr="00943D9D" w:rsidRDefault="004005DA" w:rsidP="00BA2A16">
            <w:pPr>
              <w:tabs>
                <w:tab w:val="left" w:pos="438"/>
              </w:tabs>
              <w:jc w:val="both"/>
              <w:rPr>
                <w:color w:val="000000" w:themeColor="text1"/>
              </w:rPr>
            </w:pPr>
            <w:r>
              <w:rPr>
                <w:color w:val="000000" w:themeColor="text1"/>
              </w:rPr>
              <w:t xml:space="preserve">For the agriculture wage grants </w:t>
            </w:r>
            <w:r w:rsidR="00BA2A16" w:rsidRPr="00943D9D">
              <w:rPr>
                <w:color w:val="000000" w:themeColor="text1"/>
              </w:rPr>
              <w:t>Local Governments may not exceed the ceiling provided, corresponding to the approved structure and the right salary scales as follows:</w:t>
            </w:r>
          </w:p>
          <w:p w14:paraId="7F37E7A0" w14:textId="2A90229D" w:rsidR="00BA2A16" w:rsidRDefault="00BA2A16" w:rsidP="00BA2A16">
            <w:pPr>
              <w:pStyle w:val="ListParagraph"/>
              <w:numPr>
                <w:ilvl w:val="0"/>
                <w:numId w:val="42"/>
              </w:numPr>
              <w:tabs>
                <w:tab w:val="left" w:pos="438"/>
              </w:tabs>
              <w:rPr>
                <w:color w:val="000000" w:themeColor="text1"/>
              </w:rPr>
            </w:pPr>
            <w:r>
              <w:rPr>
                <w:color w:val="000000" w:themeColor="text1"/>
              </w:rPr>
              <w:t xml:space="preserve">For </w:t>
            </w:r>
            <w:r w:rsidR="00337C24">
              <w:rPr>
                <w:color w:val="000000" w:themeColor="text1"/>
              </w:rPr>
              <w:t>Sub-C</w:t>
            </w:r>
            <w:r w:rsidRPr="00943D9D">
              <w:rPr>
                <w:color w:val="000000" w:themeColor="text1"/>
              </w:rPr>
              <w:t>ounty Local Government: budget at</w:t>
            </w:r>
            <w:r>
              <w:rPr>
                <w:color w:val="000000" w:themeColor="text1"/>
              </w:rPr>
              <w:t xml:space="preserve"> least 1 Extension worker</w:t>
            </w:r>
          </w:p>
          <w:p w14:paraId="076EE2B5" w14:textId="77777777" w:rsidR="003464B7" w:rsidRDefault="003464B7" w:rsidP="006C19B1">
            <w:pPr>
              <w:tabs>
                <w:tab w:val="left" w:pos="438"/>
              </w:tabs>
              <w:rPr>
                <w:color w:val="000000" w:themeColor="text1"/>
              </w:rPr>
            </w:pPr>
          </w:p>
          <w:p w14:paraId="474BDFDC" w14:textId="624AFE17" w:rsidR="003464B7" w:rsidRPr="006C19B1" w:rsidRDefault="003464B7" w:rsidP="00337C24">
            <w:pPr>
              <w:tabs>
                <w:tab w:val="left" w:pos="438"/>
              </w:tabs>
              <w:rPr>
                <w:color w:val="000000" w:themeColor="text1"/>
              </w:rPr>
            </w:pPr>
            <w:r>
              <w:t xml:space="preserve">Local governments with wage conditional grant allocations greater than what their allocations would be under the new formula </w:t>
            </w:r>
            <w:r w:rsidR="00337C24">
              <w:t>may</w:t>
            </w:r>
            <w:r>
              <w:t xml:space="preserve"> not budget for hiring new staff.  A schedule of those LGs required to stop hiring is provided alongside the IPFs.  </w:t>
            </w:r>
          </w:p>
        </w:tc>
      </w:tr>
      <w:tr w:rsidR="00BA2A16" w:rsidRPr="009553A0" w14:paraId="02F600FF" w14:textId="77777777" w:rsidTr="00BA2A16">
        <w:tc>
          <w:tcPr>
            <w:tcW w:w="1495" w:type="pct"/>
            <w:shd w:val="clear" w:color="auto" w:fill="auto"/>
          </w:tcPr>
          <w:p w14:paraId="26DC1095" w14:textId="77777777" w:rsidR="00BA2A16" w:rsidRPr="007C7289" w:rsidRDefault="00BA2A16" w:rsidP="00BA2A16">
            <w:pPr>
              <w:tabs>
                <w:tab w:val="left" w:pos="438"/>
              </w:tabs>
              <w:rPr>
                <w:color w:val="000000" w:themeColor="text1"/>
              </w:rPr>
            </w:pPr>
            <w:r w:rsidRPr="007C7289">
              <w:rPr>
                <w:color w:val="000000" w:themeColor="text1"/>
              </w:rPr>
              <w:t>Lower Local Services</w:t>
            </w:r>
          </w:p>
          <w:p w14:paraId="6374F2BA" w14:textId="77777777" w:rsidR="00BA2A16" w:rsidRPr="007C7289" w:rsidDel="00B345A8" w:rsidRDefault="00BA2A16" w:rsidP="00BA2A16">
            <w:pPr>
              <w:tabs>
                <w:tab w:val="left" w:pos="438"/>
              </w:tabs>
              <w:rPr>
                <w:i/>
                <w:color w:val="000000" w:themeColor="text1"/>
              </w:rPr>
            </w:pPr>
          </w:p>
        </w:tc>
        <w:tc>
          <w:tcPr>
            <w:tcW w:w="3505" w:type="pct"/>
          </w:tcPr>
          <w:p w14:paraId="1890B82B" w14:textId="77777777" w:rsidR="00BA2A16" w:rsidRPr="009553A0" w:rsidRDefault="00BA2A16" w:rsidP="00BA2A16">
            <w:pPr>
              <w:tabs>
                <w:tab w:val="left" w:pos="438"/>
              </w:tabs>
              <w:rPr>
                <w:color w:val="000000" w:themeColor="text1"/>
              </w:rPr>
            </w:pPr>
            <w:r>
              <w:t xml:space="preserve">A minimum of UGX 860,000 per year of the agriculture sector non-wage recurrent grant should be allocated per sub country. </w:t>
            </w:r>
          </w:p>
        </w:tc>
      </w:tr>
      <w:tr w:rsidR="00BA2A16" w:rsidRPr="00CC6FC0" w14:paraId="291ECA48" w14:textId="77777777" w:rsidTr="00BA2A16">
        <w:tc>
          <w:tcPr>
            <w:tcW w:w="1495" w:type="pct"/>
            <w:shd w:val="clear" w:color="auto" w:fill="auto"/>
          </w:tcPr>
          <w:p w14:paraId="3290F308" w14:textId="77777777" w:rsidR="00BA2A16" w:rsidRPr="007C7289" w:rsidRDefault="00BA2A16" w:rsidP="00BA2A16">
            <w:pPr>
              <w:tabs>
                <w:tab w:val="left" w:pos="438"/>
              </w:tabs>
              <w:rPr>
                <w:color w:val="000000" w:themeColor="text1"/>
              </w:rPr>
            </w:pPr>
            <w:r w:rsidRPr="007C7289">
              <w:rPr>
                <w:color w:val="000000" w:themeColor="text1"/>
              </w:rPr>
              <w:t>Higher Local Services</w:t>
            </w:r>
          </w:p>
          <w:p w14:paraId="7DC83CD1" w14:textId="77777777" w:rsidR="00BA2A16" w:rsidRPr="007C7289" w:rsidRDefault="00BA2A16" w:rsidP="00BA2A16">
            <w:pPr>
              <w:tabs>
                <w:tab w:val="left" w:pos="438"/>
              </w:tabs>
              <w:rPr>
                <w:color w:val="000000" w:themeColor="text1"/>
              </w:rPr>
            </w:pPr>
          </w:p>
        </w:tc>
        <w:tc>
          <w:tcPr>
            <w:tcW w:w="3505" w:type="pct"/>
          </w:tcPr>
          <w:p w14:paraId="05D216A4" w14:textId="2856334A" w:rsidR="00BA2A16" w:rsidRDefault="004005DA" w:rsidP="00BA2A16">
            <w:pPr>
              <w:tabs>
                <w:tab w:val="left" w:pos="438"/>
              </w:tabs>
              <w:rPr>
                <w:color w:val="000000" w:themeColor="text1"/>
              </w:rPr>
            </w:pPr>
            <w:r>
              <w:rPr>
                <w:color w:val="000000" w:themeColor="text1"/>
              </w:rPr>
              <w:t xml:space="preserve">The non-wage recurrent budget for </w:t>
            </w:r>
            <w:r w:rsidR="00337C24">
              <w:rPr>
                <w:color w:val="000000" w:themeColor="text1"/>
              </w:rPr>
              <w:t>production</w:t>
            </w:r>
            <w:r>
              <w:rPr>
                <w:color w:val="000000" w:themeColor="text1"/>
              </w:rPr>
              <w:t xml:space="preserve"> and commerce activities should cover </w:t>
            </w:r>
            <w:r w:rsidR="00337C24">
              <w:rPr>
                <w:color w:val="000000" w:themeColor="text1"/>
              </w:rPr>
              <w:t xml:space="preserve">the following </w:t>
            </w:r>
            <w:r>
              <w:rPr>
                <w:color w:val="000000" w:themeColor="text1"/>
              </w:rPr>
              <w:t xml:space="preserve">activities </w:t>
            </w:r>
            <w:r w:rsidR="00337C24">
              <w:rPr>
                <w:color w:val="000000" w:themeColor="text1"/>
              </w:rPr>
              <w:t>only</w:t>
            </w:r>
            <w:r w:rsidR="00BA2A16">
              <w:rPr>
                <w:color w:val="000000" w:themeColor="text1"/>
              </w:rPr>
              <w:t>:</w:t>
            </w:r>
          </w:p>
          <w:p w14:paraId="67BB36AA" w14:textId="77777777" w:rsidR="00BA2A16" w:rsidRDefault="00BA2A16" w:rsidP="00BA2A16">
            <w:pPr>
              <w:pStyle w:val="ListParagraph"/>
              <w:numPr>
                <w:ilvl w:val="0"/>
                <w:numId w:val="39"/>
              </w:numPr>
              <w:tabs>
                <w:tab w:val="left" w:pos="438"/>
              </w:tabs>
              <w:rPr>
                <w:color w:val="000000" w:themeColor="text1"/>
              </w:rPr>
            </w:pPr>
            <w:r>
              <w:rPr>
                <w:color w:val="000000" w:themeColor="text1"/>
              </w:rPr>
              <w:t>Promotion of value addition and trade</w:t>
            </w:r>
          </w:p>
          <w:p w14:paraId="142D1497" w14:textId="77777777" w:rsidR="00BA2A16" w:rsidRDefault="00BA2A16" w:rsidP="00BA2A16">
            <w:pPr>
              <w:pStyle w:val="ListParagraph"/>
              <w:numPr>
                <w:ilvl w:val="0"/>
                <w:numId w:val="39"/>
              </w:numPr>
              <w:tabs>
                <w:tab w:val="left" w:pos="438"/>
              </w:tabs>
              <w:rPr>
                <w:color w:val="000000" w:themeColor="text1"/>
              </w:rPr>
            </w:pPr>
            <w:r w:rsidRPr="00536ED8">
              <w:rPr>
                <w:color w:val="000000" w:themeColor="text1"/>
              </w:rPr>
              <w:lastRenderedPageBreak/>
              <w:t>Support to district efforts on crop and animal husbandry</w:t>
            </w:r>
          </w:p>
          <w:p w14:paraId="207BAFDC" w14:textId="77777777" w:rsidR="00BA2A16" w:rsidRDefault="00BA2A16" w:rsidP="00BA2A16">
            <w:pPr>
              <w:pStyle w:val="ListParagraph"/>
              <w:numPr>
                <w:ilvl w:val="0"/>
                <w:numId w:val="39"/>
              </w:numPr>
              <w:tabs>
                <w:tab w:val="left" w:pos="438"/>
              </w:tabs>
              <w:rPr>
                <w:color w:val="000000" w:themeColor="text1"/>
              </w:rPr>
            </w:pPr>
            <w:r>
              <w:rPr>
                <w:color w:val="000000" w:themeColor="text1"/>
              </w:rPr>
              <w:t>Mobilisation for agribusiness</w:t>
            </w:r>
          </w:p>
          <w:p w14:paraId="44165DF1" w14:textId="77777777" w:rsidR="00BA2A16" w:rsidRPr="00943D9D" w:rsidRDefault="00BA2A16" w:rsidP="00BA2A16">
            <w:pPr>
              <w:pStyle w:val="ListParagraph"/>
              <w:numPr>
                <w:ilvl w:val="0"/>
                <w:numId w:val="39"/>
              </w:numPr>
              <w:tabs>
                <w:tab w:val="left" w:pos="438"/>
              </w:tabs>
              <w:rPr>
                <w:color w:val="000000" w:themeColor="text1"/>
              </w:rPr>
            </w:pPr>
            <w:r>
              <w:rPr>
                <w:color w:val="000000" w:themeColor="text1"/>
              </w:rPr>
              <w:t>Initiatives for technology development</w:t>
            </w:r>
          </w:p>
        </w:tc>
      </w:tr>
      <w:tr w:rsidR="00BA2A16" w:rsidRPr="005B2129" w14:paraId="4B60AC18" w14:textId="77777777" w:rsidTr="00BA2A16">
        <w:tc>
          <w:tcPr>
            <w:tcW w:w="1495" w:type="pct"/>
            <w:shd w:val="clear" w:color="auto" w:fill="auto"/>
          </w:tcPr>
          <w:p w14:paraId="1D42FCEE" w14:textId="77777777" w:rsidR="00BA2A16" w:rsidRPr="007C7289" w:rsidRDefault="00BA2A16" w:rsidP="00BA2A16">
            <w:pPr>
              <w:tabs>
                <w:tab w:val="left" w:pos="438"/>
              </w:tabs>
              <w:rPr>
                <w:color w:val="000000" w:themeColor="text1"/>
              </w:rPr>
            </w:pPr>
            <w:r w:rsidRPr="007C7289">
              <w:rPr>
                <w:color w:val="000000" w:themeColor="text1"/>
              </w:rPr>
              <w:lastRenderedPageBreak/>
              <w:t>Monitoring and Management of Service Delivery</w:t>
            </w:r>
          </w:p>
          <w:p w14:paraId="2DEE08F5" w14:textId="77777777" w:rsidR="00BA2A16" w:rsidRPr="007C7289" w:rsidRDefault="00BA2A16" w:rsidP="00BA2A16">
            <w:pPr>
              <w:pStyle w:val="ListParagraph"/>
              <w:tabs>
                <w:tab w:val="left" w:pos="438"/>
              </w:tabs>
              <w:ind w:left="427"/>
              <w:jc w:val="both"/>
              <w:rPr>
                <w:color w:val="000000" w:themeColor="text1"/>
              </w:rPr>
            </w:pPr>
          </w:p>
        </w:tc>
        <w:tc>
          <w:tcPr>
            <w:tcW w:w="3505" w:type="pct"/>
          </w:tcPr>
          <w:p w14:paraId="1FDA7852" w14:textId="78977069" w:rsidR="00BA2A16" w:rsidRPr="00CC6FC0" w:rsidRDefault="00BA2A16" w:rsidP="00337C24">
            <w:pPr>
              <w:tabs>
                <w:tab w:val="left" w:pos="438"/>
              </w:tabs>
              <w:jc w:val="both"/>
              <w:rPr>
                <w:color w:val="000000" w:themeColor="text1"/>
              </w:rPr>
            </w:pPr>
            <w:r>
              <w:rPr>
                <w:color w:val="000000" w:themeColor="text1"/>
              </w:rPr>
              <w:t xml:space="preserve">LGs may budget up to a maximum of 5% of the sector non-wage </w:t>
            </w:r>
            <w:r w:rsidR="004005DA">
              <w:rPr>
                <w:color w:val="000000" w:themeColor="text1"/>
              </w:rPr>
              <w:t>development budget</w:t>
            </w:r>
            <w:r>
              <w:rPr>
                <w:color w:val="000000" w:themeColor="text1"/>
              </w:rPr>
              <w:t xml:space="preserve"> for</w:t>
            </w:r>
            <w:r w:rsidR="00506A3A">
              <w:rPr>
                <w:color w:val="000000" w:themeColor="text1"/>
              </w:rPr>
              <w:t xml:space="preserve"> monitoring and management, covering</w:t>
            </w:r>
            <w:r>
              <w:rPr>
                <w:color w:val="000000" w:themeColor="text1"/>
              </w:rPr>
              <w:t>:</w:t>
            </w:r>
          </w:p>
          <w:p w14:paraId="1B46A90C" w14:textId="77777777" w:rsidR="00BA2A16" w:rsidRDefault="00BA2A16" w:rsidP="00BA2A16">
            <w:pPr>
              <w:pStyle w:val="ListParagraph"/>
              <w:numPr>
                <w:ilvl w:val="0"/>
                <w:numId w:val="40"/>
              </w:numPr>
              <w:tabs>
                <w:tab w:val="left" w:pos="438"/>
              </w:tabs>
              <w:jc w:val="both"/>
              <w:rPr>
                <w:color w:val="000000" w:themeColor="text1"/>
              </w:rPr>
            </w:pPr>
            <w:r>
              <w:rPr>
                <w:color w:val="000000" w:themeColor="text1"/>
              </w:rPr>
              <w:t>Operational costs of the district agricultural office</w:t>
            </w:r>
          </w:p>
          <w:p w14:paraId="00D0013D" w14:textId="0DFA716E" w:rsidR="00BA2A16" w:rsidRDefault="00BA2A16" w:rsidP="00BA2A16">
            <w:pPr>
              <w:pStyle w:val="ListParagraph"/>
              <w:numPr>
                <w:ilvl w:val="0"/>
                <w:numId w:val="40"/>
              </w:numPr>
              <w:tabs>
                <w:tab w:val="left" w:pos="438"/>
              </w:tabs>
              <w:jc w:val="both"/>
              <w:rPr>
                <w:color w:val="000000" w:themeColor="text1"/>
              </w:rPr>
            </w:pPr>
            <w:r>
              <w:rPr>
                <w:color w:val="000000" w:themeColor="text1"/>
              </w:rPr>
              <w:t>Coordination expenses</w:t>
            </w:r>
            <w:r w:rsidR="00337C24">
              <w:rPr>
                <w:color w:val="000000" w:themeColor="text1"/>
              </w:rPr>
              <w:t>,</w:t>
            </w:r>
            <w:r>
              <w:rPr>
                <w:color w:val="000000" w:themeColor="text1"/>
              </w:rPr>
              <w:t xml:space="preserve"> including oversight community mobilisation for production</w:t>
            </w:r>
          </w:p>
          <w:p w14:paraId="46CC2666" w14:textId="77777777" w:rsidR="00BA2A16" w:rsidRPr="009553A0" w:rsidRDefault="00BA2A16" w:rsidP="00BA2A16">
            <w:pPr>
              <w:pStyle w:val="ListParagraph"/>
              <w:numPr>
                <w:ilvl w:val="0"/>
                <w:numId w:val="40"/>
              </w:numPr>
              <w:tabs>
                <w:tab w:val="left" w:pos="438"/>
              </w:tabs>
              <w:jc w:val="both"/>
              <w:rPr>
                <w:color w:val="000000" w:themeColor="text1"/>
              </w:rPr>
            </w:pPr>
            <w:r w:rsidRPr="009553A0">
              <w:rPr>
                <w:color w:val="000000" w:themeColor="text1"/>
              </w:rPr>
              <w:t>Monitoring</w:t>
            </w:r>
            <w:r>
              <w:rPr>
                <w:color w:val="000000" w:themeColor="text1"/>
              </w:rPr>
              <w:t xml:space="preserve"> and supervision of agricultural sector activities</w:t>
            </w:r>
          </w:p>
          <w:p w14:paraId="20E9FB76" w14:textId="77777777" w:rsidR="00BA2A16" w:rsidRPr="005B2129" w:rsidRDefault="00BA2A16" w:rsidP="00BA2A16">
            <w:pPr>
              <w:pStyle w:val="ListParagraph"/>
              <w:numPr>
                <w:ilvl w:val="0"/>
                <w:numId w:val="40"/>
              </w:numPr>
              <w:tabs>
                <w:tab w:val="left" w:pos="438"/>
              </w:tabs>
              <w:jc w:val="both"/>
              <w:rPr>
                <w:color w:val="000000" w:themeColor="text1"/>
              </w:rPr>
            </w:pPr>
            <w:r w:rsidRPr="005B2129">
              <w:rPr>
                <w:color w:val="000000" w:themeColor="text1"/>
              </w:rPr>
              <w:t>Data management to support NFASS which is in the pipeline</w:t>
            </w:r>
          </w:p>
        </w:tc>
      </w:tr>
      <w:tr w:rsidR="00BA2A16" w:rsidRPr="005B2129" w14:paraId="4590AAB5" w14:textId="77777777" w:rsidTr="00BA2A16">
        <w:tc>
          <w:tcPr>
            <w:tcW w:w="1495" w:type="pct"/>
            <w:shd w:val="clear" w:color="auto" w:fill="auto"/>
          </w:tcPr>
          <w:p w14:paraId="56B6E078" w14:textId="77777777" w:rsidR="00BA2A16" w:rsidRPr="007C7289" w:rsidRDefault="00BA2A16" w:rsidP="00BA2A16">
            <w:pPr>
              <w:tabs>
                <w:tab w:val="left" w:pos="438"/>
              </w:tabs>
              <w:ind w:left="426" w:hanging="426"/>
              <w:rPr>
                <w:i/>
                <w:color w:val="000000" w:themeColor="text1"/>
              </w:rPr>
            </w:pPr>
            <w:r w:rsidRPr="007C7289">
              <w:rPr>
                <w:i/>
                <w:color w:val="000000" w:themeColor="text1"/>
              </w:rPr>
              <w:t>Development</w:t>
            </w:r>
          </w:p>
        </w:tc>
        <w:tc>
          <w:tcPr>
            <w:tcW w:w="3505" w:type="pct"/>
          </w:tcPr>
          <w:p w14:paraId="40CE4DEF" w14:textId="77777777" w:rsidR="00BA2A16" w:rsidRDefault="00BA2A16" w:rsidP="00BA2A16">
            <w:pPr>
              <w:tabs>
                <w:tab w:val="left" w:pos="438"/>
              </w:tabs>
            </w:pPr>
          </w:p>
        </w:tc>
      </w:tr>
      <w:tr w:rsidR="00BA2A16" w:rsidRPr="005B2129" w14:paraId="4692672C" w14:textId="77777777" w:rsidTr="00BA2A16">
        <w:tc>
          <w:tcPr>
            <w:tcW w:w="1495" w:type="pct"/>
            <w:shd w:val="clear" w:color="auto" w:fill="auto"/>
          </w:tcPr>
          <w:p w14:paraId="59F1B646" w14:textId="77777777" w:rsidR="00BA2A16" w:rsidRPr="007C7289" w:rsidRDefault="00BA2A16" w:rsidP="00BA2A16">
            <w:pPr>
              <w:tabs>
                <w:tab w:val="left" w:pos="438"/>
              </w:tabs>
              <w:ind w:left="426" w:hanging="426"/>
              <w:rPr>
                <w:color w:val="000000" w:themeColor="text1"/>
              </w:rPr>
            </w:pPr>
            <w:r w:rsidRPr="007C7289">
              <w:rPr>
                <w:color w:val="000000" w:themeColor="text1"/>
              </w:rPr>
              <w:t>Capacity Development</w:t>
            </w:r>
          </w:p>
          <w:p w14:paraId="28EA7113" w14:textId="77777777" w:rsidR="00BA2A16" w:rsidRPr="007C7289" w:rsidRDefault="00BA2A16" w:rsidP="00BA2A16">
            <w:pPr>
              <w:pStyle w:val="ListParagraph"/>
              <w:tabs>
                <w:tab w:val="left" w:pos="438"/>
              </w:tabs>
              <w:ind w:left="427"/>
              <w:rPr>
                <w:color w:val="000000" w:themeColor="text1"/>
              </w:rPr>
            </w:pPr>
          </w:p>
        </w:tc>
        <w:tc>
          <w:tcPr>
            <w:tcW w:w="3505" w:type="pct"/>
          </w:tcPr>
          <w:p w14:paraId="4500B0FB" w14:textId="4101726F" w:rsidR="00BA2A16" w:rsidRPr="0081403C" w:rsidRDefault="00BA2A16" w:rsidP="00506A3A">
            <w:pPr>
              <w:tabs>
                <w:tab w:val="left" w:pos="438"/>
              </w:tabs>
              <w:rPr>
                <w:color w:val="000000" w:themeColor="text1"/>
              </w:rPr>
            </w:pPr>
            <w:r>
              <w:t>LGs may fund capacity development activities</w:t>
            </w:r>
            <w:r w:rsidR="004005DA">
              <w:t xml:space="preserve"> in the sector </w:t>
            </w:r>
            <w:r>
              <w:t xml:space="preserve">from the discretionary development equalisation grant (DDEG). LGs shall adhere to the indicative positive and negative lists </w:t>
            </w:r>
            <w:r w:rsidR="00506A3A">
              <w:t xml:space="preserve">(below) </w:t>
            </w:r>
            <w:r>
              <w:t>and requirements for use of this grant for capacity development when selecting capacity development interventions.</w:t>
            </w:r>
          </w:p>
        </w:tc>
      </w:tr>
      <w:tr w:rsidR="00BA2A16" w:rsidRPr="00536ED8" w14:paraId="677DAC1C" w14:textId="77777777" w:rsidTr="00BA2A16">
        <w:tc>
          <w:tcPr>
            <w:tcW w:w="1495" w:type="pct"/>
            <w:shd w:val="clear" w:color="auto" w:fill="auto"/>
          </w:tcPr>
          <w:p w14:paraId="798CE297" w14:textId="77777777" w:rsidR="00BA2A16" w:rsidRPr="007C7289" w:rsidRDefault="00BA2A16" w:rsidP="00BA2A16">
            <w:pPr>
              <w:tabs>
                <w:tab w:val="left" w:pos="438"/>
              </w:tabs>
              <w:ind w:left="426" w:hanging="426"/>
              <w:rPr>
                <w:color w:val="000000" w:themeColor="text1"/>
              </w:rPr>
            </w:pPr>
            <w:r w:rsidRPr="007C7289">
              <w:rPr>
                <w:color w:val="000000" w:themeColor="text1"/>
              </w:rPr>
              <w:t>Capital Investments</w:t>
            </w:r>
          </w:p>
          <w:p w14:paraId="2CDDB25E" w14:textId="77777777" w:rsidR="00BA2A16" w:rsidRPr="007C7289" w:rsidRDefault="00BA2A16" w:rsidP="00BA2A16">
            <w:pPr>
              <w:pStyle w:val="ListParagraph"/>
              <w:tabs>
                <w:tab w:val="left" w:pos="438"/>
              </w:tabs>
              <w:ind w:left="427"/>
              <w:rPr>
                <w:color w:val="000000" w:themeColor="text1"/>
              </w:rPr>
            </w:pPr>
          </w:p>
        </w:tc>
        <w:tc>
          <w:tcPr>
            <w:tcW w:w="3505" w:type="pct"/>
          </w:tcPr>
          <w:p w14:paraId="50108F32" w14:textId="1BE7CBDE" w:rsidR="00BA2A16" w:rsidRPr="00536ED8" w:rsidRDefault="00BA2A16" w:rsidP="00BA2A16">
            <w:pPr>
              <w:tabs>
                <w:tab w:val="left" w:pos="438"/>
              </w:tabs>
              <w:rPr>
                <w:color w:val="000000" w:themeColor="text1"/>
              </w:rPr>
            </w:pPr>
            <w:r>
              <w:rPr>
                <w:color w:val="000000" w:themeColor="text1"/>
              </w:rPr>
              <w:t xml:space="preserve">LGs </w:t>
            </w:r>
            <w:r w:rsidR="00506A3A">
              <w:rPr>
                <w:color w:val="000000" w:themeColor="text1"/>
              </w:rPr>
              <w:t>must</w:t>
            </w:r>
            <w:r>
              <w:rPr>
                <w:color w:val="000000" w:themeColor="text1"/>
              </w:rPr>
              <w:t xml:space="preserve"> allocate a minimum of 80% of the development </w:t>
            </w:r>
            <w:r w:rsidR="004005DA">
              <w:rPr>
                <w:color w:val="000000" w:themeColor="text1"/>
              </w:rPr>
              <w:t>budget</w:t>
            </w:r>
            <w:r>
              <w:rPr>
                <w:color w:val="000000" w:themeColor="text1"/>
              </w:rPr>
              <w:t xml:space="preserve"> to capital </w:t>
            </w:r>
            <w:r w:rsidR="00506A3A">
              <w:rPr>
                <w:color w:val="000000" w:themeColor="text1"/>
              </w:rPr>
              <w:t xml:space="preserve">for service delivery, </w:t>
            </w:r>
            <w:r>
              <w:rPr>
                <w:color w:val="000000" w:themeColor="text1"/>
              </w:rPr>
              <w:t xml:space="preserve">including production service delivery facilities and equipment. For example: </w:t>
            </w:r>
          </w:p>
          <w:p w14:paraId="26526335" w14:textId="77777777" w:rsidR="00BA2A16" w:rsidRDefault="00BA2A16" w:rsidP="00BA2A16">
            <w:pPr>
              <w:pStyle w:val="ListParagraph"/>
              <w:numPr>
                <w:ilvl w:val="0"/>
                <w:numId w:val="41"/>
              </w:numPr>
              <w:tabs>
                <w:tab w:val="left" w:pos="438"/>
              </w:tabs>
              <w:rPr>
                <w:color w:val="000000" w:themeColor="text1"/>
              </w:rPr>
            </w:pPr>
            <w:r>
              <w:rPr>
                <w:color w:val="000000" w:themeColor="text1"/>
              </w:rPr>
              <w:t>Construction of small size farmer field schools valley dams, slaughter slabs, post-harvest loss saving stores, value addition facilities and cooling service points for fish</w:t>
            </w:r>
            <w:r w:rsidRPr="009553A0">
              <w:rPr>
                <w:color w:val="000000" w:themeColor="text1"/>
              </w:rPr>
              <w:t xml:space="preserve"> </w:t>
            </w:r>
          </w:p>
          <w:p w14:paraId="41B4AD43" w14:textId="77777777" w:rsidR="00BA2A16" w:rsidRDefault="00BA2A16" w:rsidP="00BA2A16">
            <w:pPr>
              <w:pStyle w:val="ListParagraph"/>
              <w:numPr>
                <w:ilvl w:val="0"/>
                <w:numId w:val="41"/>
              </w:numPr>
              <w:tabs>
                <w:tab w:val="left" w:pos="438"/>
              </w:tabs>
              <w:rPr>
                <w:color w:val="000000" w:themeColor="text1"/>
              </w:rPr>
            </w:pPr>
            <w:r>
              <w:rPr>
                <w:color w:val="000000" w:themeColor="text1"/>
              </w:rPr>
              <w:t>Irrigation support infrastructure (in as much as this can be designed and managed by the centre)</w:t>
            </w:r>
          </w:p>
          <w:p w14:paraId="4B67C858" w14:textId="2C914E6F" w:rsidR="00BA2A16" w:rsidRPr="00506A3A" w:rsidRDefault="00BA2A16" w:rsidP="00506A3A">
            <w:pPr>
              <w:tabs>
                <w:tab w:val="left" w:pos="438"/>
              </w:tabs>
              <w:rPr>
                <w:color w:val="000000" w:themeColor="text1"/>
              </w:rPr>
            </w:pPr>
            <w:r w:rsidRPr="00506A3A">
              <w:rPr>
                <w:color w:val="000000" w:themeColor="text1"/>
              </w:rPr>
              <w:t xml:space="preserve">A maximum of 20% of the development </w:t>
            </w:r>
            <w:r w:rsidR="004005DA" w:rsidRPr="00506A3A">
              <w:rPr>
                <w:color w:val="000000" w:themeColor="text1"/>
              </w:rPr>
              <w:t>budget</w:t>
            </w:r>
            <w:r w:rsidRPr="00506A3A">
              <w:rPr>
                <w:color w:val="000000" w:themeColor="text1"/>
              </w:rPr>
              <w:t xml:space="preserve"> allocation</w:t>
            </w:r>
            <w:r w:rsidR="004005DA" w:rsidRPr="00506A3A">
              <w:rPr>
                <w:color w:val="000000" w:themeColor="text1"/>
              </w:rPr>
              <w:t>s</w:t>
            </w:r>
            <w:r w:rsidRPr="00506A3A">
              <w:rPr>
                <w:color w:val="000000" w:themeColor="text1"/>
              </w:rPr>
              <w:t xml:space="preserve"> can be spent on administrative infrastructure e.g</w:t>
            </w:r>
            <w:r w:rsidR="00506A3A">
              <w:rPr>
                <w:color w:val="000000" w:themeColor="text1"/>
              </w:rPr>
              <w:t>. construction of office blocks or</w:t>
            </w:r>
            <w:r w:rsidRPr="00506A3A">
              <w:rPr>
                <w:color w:val="000000" w:themeColor="text1"/>
              </w:rPr>
              <w:t xml:space="preserve"> purchase of office equipment</w:t>
            </w:r>
            <w:r w:rsidR="00506A3A">
              <w:rPr>
                <w:color w:val="000000" w:themeColor="text1"/>
              </w:rPr>
              <w:t>.</w:t>
            </w:r>
          </w:p>
        </w:tc>
      </w:tr>
    </w:tbl>
    <w:p w14:paraId="2CD50B5F" w14:textId="77777777" w:rsidR="00BA2A16" w:rsidRDefault="00BA2A16" w:rsidP="000647EB"/>
    <w:p w14:paraId="0CC186E3" w14:textId="77777777" w:rsidR="006C19B1" w:rsidRDefault="006C19B1" w:rsidP="00506A3A">
      <w:pPr>
        <w:autoSpaceDE w:val="0"/>
        <w:autoSpaceDN w:val="0"/>
        <w:adjustRightInd w:val="0"/>
        <w:spacing w:line="252" w:lineRule="auto"/>
        <w:jc w:val="both"/>
        <w:rPr>
          <w:rFonts w:ascii="Calibri" w:hAnsi="Calibri" w:cs="Calibri"/>
        </w:rPr>
      </w:pPr>
      <w:r>
        <w:rPr>
          <w:rFonts w:ascii="Calibri" w:hAnsi="Calibri" w:cs="Calibri"/>
        </w:rPr>
        <w:t xml:space="preserve">The table below provides an indicative list of </w:t>
      </w:r>
      <w:r>
        <w:rPr>
          <w:rFonts w:ascii="Calibri" w:hAnsi="Calibri" w:cs="Calibri"/>
          <w:b/>
          <w:bCs/>
        </w:rPr>
        <w:t>capital investments and other development activities</w:t>
      </w:r>
      <w:r>
        <w:rPr>
          <w:rFonts w:ascii="Calibri" w:hAnsi="Calibri" w:cs="Calibri"/>
        </w:rPr>
        <w:t xml:space="preserve"> which may or may not be funded under the sector development budget from central government grants: </w:t>
      </w:r>
    </w:p>
    <w:p w14:paraId="599FA763" w14:textId="77777777" w:rsidR="000423C5" w:rsidRDefault="000423C5" w:rsidP="006C19B1">
      <w:pPr>
        <w:pStyle w:val="ListParagraph"/>
        <w:spacing w:after="0" w:line="240" w:lineRule="auto"/>
        <w:jc w:val="both"/>
      </w:pPr>
    </w:p>
    <w:tbl>
      <w:tblPr>
        <w:tblStyle w:val="TableGrid"/>
        <w:tblW w:w="0" w:type="auto"/>
        <w:tblLayout w:type="fixed"/>
        <w:tblLook w:val="04A0" w:firstRow="1" w:lastRow="0" w:firstColumn="1" w:lastColumn="0" w:noHBand="0" w:noVBand="1"/>
      </w:tblPr>
      <w:tblGrid>
        <w:gridCol w:w="1555"/>
        <w:gridCol w:w="4394"/>
        <w:gridCol w:w="3067"/>
      </w:tblGrid>
      <w:tr w:rsidR="00E401EC" w14:paraId="1AEF08E0" w14:textId="77777777" w:rsidTr="005807DF">
        <w:trPr>
          <w:tblHeader/>
        </w:trPr>
        <w:tc>
          <w:tcPr>
            <w:tcW w:w="1555" w:type="dxa"/>
            <w:shd w:val="clear" w:color="auto" w:fill="E7E6E6" w:themeFill="background2"/>
          </w:tcPr>
          <w:p w14:paraId="64687870" w14:textId="77777777" w:rsidR="00E401EC" w:rsidRDefault="00E401EC" w:rsidP="002305BB"/>
        </w:tc>
        <w:tc>
          <w:tcPr>
            <w:tcW w:w="4394" w:type="dxa"/>
            <w:shd w:val="clear" w:color="auto" w:fill="E7E6E6" w:themeFill="background2"/>
          </w:tcPr>
          <w:p w14:paraId="67E32ACF" w14:textId="7E6ADB35" w:rsidR="00E401EC" w:rsidRDefault="00E401EC" w:rsidP="002305BB">
            <w:r>
              <w:t>Positive list (what may be funded)</w:t>
            </w:r>
          </w:p>
        </w:tc>
        <w:tc>
          <w:tcPr>
            <w:tcW w:w="3067" w:type="dxa"/>
            <w:shd w:val="clear" w:color="auto" w:fill="E7E6E6" w:themeFill="background2"/>
          </w:tcPr>
          <w:p w14:paraId="10EE2430" w14:textId="77777777" w:rsidR="00E401EC" w:rsidRDefault="00E401EC" w:rsidP="002305BB">
            <w:r>
              <w:t>Negative list (what may not be funded)</w:t>
            </w:r>
          </w:p>
        </w:tc>
      </w:tr>
      <w:tr w:rsidR="00E401EC" w14:paraId="2EBC2128" w14:textId="77777777" w:rsidTr="005807DF">
        <w:tc>
          <w:tcPr>
            <w:tcW w:w="1555" w:type="dxa"/>
          </w:tcPr>
          <w:p w14:paraId="5B94876F" w14:textId="370AB5A7" w:rsidR="00E401EC" w:rsidRPr="006C19B1" w:rsidRDefault="00E401EC" w:rsidP="006C19B1">
            <w:pPr>
              <w:jc w:val="both"/>
              <w:rPr>
                <w:color w:val="000000" w:themeColor="text1"/>
              </w:rPr>
            </w:pPr>
            <w:r>
              <w:rPr>
                <w:color w:val="000000" w:themeColor="text1"/>
              </w:rPr>
              <w:t>Capital Investment</w:t>
            </w:r>
            <w:r w:rsidR="001762A7">
              <w:rPr>
                <w:color w:val="000000" w:themeColor="text1"/>
              </w:rPr>
              <w:t>s</w:t>
            </w:r>
          </w:p>
        </w:tc>
        <w:tc>
          <w:tcPr>
            <w:tcW w:w="4394" w:type="dxa"/>
          </w:tcPr>
          <w:p w14:paraId="2CB00F1B" w14:textId="2C3846FB" w:rsidR="00E401EC" w:rsidRPr="000F5470" w:rsidRDefault="00E401EC" w:rsidP="006F1F61">
            <w:pPr>
              <w:pStyle w:val="ListParagraph"/>
              <w:numPr>
                <w:ilvl w:val="0"/>
                <w:numId w:val="44"/>
              </w:numPr>
              <w:jc w:val="both"/>
            </w:pPr>
            <w:r w:rsidRPr="006C19B1">
              <w:rPr>
                <w:color w:val="000000" w:themeColor="text1"/>
              </w:rPr>
              <w:t xml:space="preserve">Small scale </w:t>
            </w:r>
            <w:r>
              <w:t>c</w:t>
            </w:r>
            <w:r w:rsidRPr="000F5470">
              <w:t>ommunal valley dams for livestock watering with a watering trough or a cattle crush.</w:t>
            </w:r>
          </w:p>
          <w:p w14:paraId="07F40F56" w14:textId="2D86F7F8" w:rsidR="00E401EC" w:rsidRPr="006B6899" w:rsidRDefault="00E401EC" w:rsidP="00204550">
            <w:pPr>
              <w:pStyle w:val="ListParagraph"/>
              <w:numPr>
                <w:ilvl w:val="0"/>
                <w:numId w:val="44"/>
              </w:numPr>
              <w:tabs>
                <w:tab w:val="left" w:pos="438"/>
              </w:tabs>
              <w:rPr>
                <w:color w:val="000000" w:themeColor="text1"/>
              </w:rPr>
            </w:pPr>
            <w:r w:rsidRPr="006B6899">
              <w:rPr>
                <w:color w:val="000000" w:themeColor="text1"/>
              </w:rPr>
              <w:t>Small level irrigations systems in drought prone areas</w:t>
            </w:r>
            <w:r>
              <w:rPr>
                <w:color w:val="000000" w:themeColor="text1"/>
              </w:rPr>
              <w:t xml:space="preserve"> for communal use, </w:t>
            </w:r>
            <w:r w:rsidRPr="006B6899">
              <w:rPr>
                <w:color w:val="000000" w:themeColor="text1"/>
              </w:rPr>
              <w:t xml:space="preserve">Irrigation demonstration </w:t>
            </w:r>
            <w:r w:rsidR="00506A3A" w:rsidRPr="006B6899">
              <w:rPr>
                <w:color w:val="000000" w:themeColor="text1"/>
              </w:rPr>
              <w:t>centres</w:t>
            </w:r>
            <w:r w:rsidRPr="006B6899">
              <w:rPr>
                <w:color w:val="000000" w:themeColor="text1"/>
              </w:rPr>
              <w:t xml:space="preserve"> at small scale</w:t>
            </w:r>
            <w:r w:rsidR="00506A3A">
              <w:rPr>
                <w:color w:val="000000" w:themeColor="text1"/>
              </w:rPr>
              <w:t>.</w:t>
            </w:r>
          </w:p>
          <w:p w14:paraId="7C89C241" w14:textId="0C101B14" w:rsidR="00E401EC" w:rsidRDefault="00E401EC">
            <w:pPr>
              <w:pStyle w:val="ListParagraph"/>
              <w:numPr>
                <w:ilvl w:val="0"/>
                <w:numId w:val="44"/>
              </w:numPr>
              <w:jc w:val="both"/>
            </w:pPr>
            <w:r w:rsidRPr="006C19B1">
              <w:rPr>
                <w:color w:val="000000" w:themeColor="text1"/>
              </w:rPr>
              <w:t>Construction of slaughter slabs and abattoir</w:t>
            </w:r>
            <w:r>
              <w:rPr>
                <w:color w:val="000000" w:themeColor="text1"/>
              </w:rPr>
              <w:t xml:space="preserve">, </w:t>
            </w:r>
            <w:r w:rsidRPr="000F5470">
              <w:t>Livestock markets</w:t>
            </w:r>
            <w:r>
              <w:t xml:space="preserve">, </w:t>
            </w:r>
            <w:r w:rsidRPr="000F5470">
              <w:t>Communal cattle dips</w:t>
            </w:r>
            <w:r w:rsidR="00506A3A">
              <w:t>.</w:t>
            </w:r>
          </w:p>
          <w:p w14:paraId="0DC587A2" w14:textId="143DCD81" w:rsidR="00E401EC" w:rsidRPr="006B6899" w:rsidRDefault="00E401EC" w:rsidP="00204550">
            <w:pPr>
              <w:pStyle w:val="ListParagraph"/>
              <w:numPr>
                <w:ilvl w:val="0"/>
                <w:numId w:val="44"/>
              </w:numPr>
              <w:tabs>
                <w:tab w:val="left" w:pos="438"/>
              </w:tabs>
              <w:rPr>
                <w:color w:val="000000" w:themeColor="text1"/>
              </w:rPr>
            </w:pPr>
            <w:r w:rsidRPr="006B6899">
              <w:rPr>
                <w:color w:val="000000" w:themeColor="text1"/>
              </w:rPr>
              <w:t xml:space="preserve">Equipment to support tests for </w:t>
            </w:r>
            <w:r w:rsidR="005807DF">
              <w:rPr>
                <w:color w:val="000000" w:themeColor="text1"/>
              </w:rPr>
              <w:t>disease outbreaks affecting livestock</w:t>
            </w:r>
            <w:r w:rsidR="00506A3A">
              <w:rPr>
                <w:color w:val="000000" w:themeColor="text1"/>
              </w:rPr>
              <w:t>.</w:t>
            </w:r>
          </w:p>
          <w:p w14:paraId="22F86951" w14:textId="77777777" w:rsidR="00E401EC" w:rsidRPr="006C19B1" w:rsidRDefault="00E401EC" w:rsidP="006C19B1">
            <w:pPr>
              <w:pStyle w:val="ListParagraph"/>
              <w:numPr>
                <w:ilvl w:val="0"/>
                <w:numId w:val="44"/>
              </w:numPr>
              <w:tabs>
                <w:tab w:val="left" w:pos="438"/>
              </w:tabs>
            </w:pPr>
            <w:r w:rsidRPr="006C19B1">
              <w:rPr>
                <w:color w:val="000000" w:themeColor="text1"/>
              </w:rPr>
              <w:t>MIS to support data management for farming produce, SMEs and other value addition and trade aspects as they evolve.</w:t>
            </w:r>
          </w:p>
          <w:p w14:paraId="6C2A2B5E" w14:textId="7993B98D" w:rsidR="00E401EC" w:rsidRDefault="00E401EC" w:rsidP="006C19B1">
            <w:pPr>
              <w:pStyle w:val="ListParagraph"/>
              <w:numPr>
                <w:ilvl w:val="0"/>
                <w:numId w:val="44"/>
              </w:numPr>
              <w:tabs>
                <w:tab w:val="left" w:pos="438"/>
              </w:tabs>
            </w:pPr>
            <w:r w:rsidRPr="006C19B1">
              <w:rPr>
                <w:color w:val="000000" w:themeColor="text1"/>
              </w:rPr>
              <w:lastRenderedPageBreak/>
              <w:t>Demonstration fish ponds</w:t>
            </w:r>
            <w:r>
              <w:rPr>
                <w:color w:val="000000" w:themeColor="text1"/>
              </w:rPr>
              <w:t>, f</w:t>
            </w:r>
            <w:r w:rsidRPr="000F5470">
              <w:t>isheries landing sites</w:t>
            </w:r>
            <w:r>
              <w:t>,  c</w:t>
            </w:r>
            <w:r w:rsidRPr="006B6899">
              <w:rPr>
                <w:color w:val="000000" w:themeColor="text1"/>
              </w:rPr>
              <w:t>ool chains for landing sites</w:t>
            </w:r>
            <w:r>
              <w:rPr>
                <w:color w:val="000000" w:themeColor="text1"/>
              </w:rPr>
              <w:t>,</w:t>
            </w:r>
            <w:r w:rsidRPr="006B6899">
              <w:rPr>
                <w:color w:val="000000" w:themeColor="text1"/>
              </w:rPr>
              <w:t xml:space="preserve"> </w:t>
            </w:r>
            <w:r>
              <w:t>fis</w:t>
            </w:r>
            <w:r w:rsidRPr="000F5470">
              <w:t>h drying kiln</w:t>
            </w:r>
          </w:p>
          <w:p w14:paraId="28CEA10C" w14:textId="77777777" w:rsidR="00E401EC" w:rsidRPr="000F5470" w:rsidRDefault="00E401EC" w:rsidP="00204550">
            <w:pPr>
              <w:pStyle w:val="ListParagraph"/>
              <w:numPr>
                <w:ilvl w:val="0"/>
                <w:numId w:val="44"/>
              </w:numPr>
              <w:jc w:val="both"/>
            </w:pPr>
            <w:r w:rsidRPr="000F5470">
              <w:t>Market structures</w:t>
            </w:r>
          </w:p>
          <w:p w14:paraId="1A05126B" w14:textId="77777777" w:rsidR="00E401EC" w:rsidRPr="000F5470" w:rsidRDefault="00E401EC" w:rsidP="00204550">
            <w:pPr>
              <w:pStyle w:val="ListParagraph"/>
              <w:numPr>
                <w:ilvl w:val="0"/>
                <w:numId w:val="44"/>
              </w:numPr>
              <w:jc w:val="both"/>
            </w:pPr>
            <w:r w:rsidRPr="000F5470">
              <w:t>Group marketing facilities such as storage</w:t>
            </w:r>
          </w:p>
          <w:p w14:paraId="2EED1A19" w14:textId="6F6ADD36" w:rsidR="00E401EC" w:rsidRDefault="00E401EC" w:rsidP="006C19B1">
            <w:pPr>
              <w:pStyle w:val="ListParagraph"/>
              <w:numPr>
                <w:ilvl w:val="0"/>
                <w:numId w:val="44"/>
              </w:numPr>
              <w:tabs>
                <w:tab w:val="left" w:pos="438"/>
              </w:tabs>
            </w:pPr>
            <w:r w:rsidRPr="000F5470">
              <w:t>Plant clinics/mini laboratories</w:t>
            </w:r>
          </w:p>
        </w:tc>
        <w:tc>
          <w:tcPr>
            <w:tcW w:w="3067" w:type="dxa"/>
          </w:tcPr>
          <w:p w14:paraId="590F0A78" w14:textId="77777777" w:rsidR="00E401EC" w:rsidRPr="006C19B1" w:rsidRDefault="00E401EC" w:rsidP="006C19B1">
            <w:pPr>
              <w:pStyle w:val="ListParagraph"/>
              <w:numPr>
                <w:ilvl w:val="0"/>
                <w:numId w:val="44"/>
              </w:numPr>
              <w:tabs>
                <w:tab w:val="left" w:pos="438"/>
              </w:tabs>
              <w:rPr>
                <w:color w:val="000000" w:themeColor="text1"/>
              </w:rPr>
            </w:pPr>
            <w:r w:rsidRPr="006C19B1">
              <w:rPr>
                <w:color w:val="000000" w:themeColor="text1"/>
              </w:rPr>
              <w:lastRenderedPageBreak/>
              <w:t>Large scale valley dams</w:t>
            </w:r>
          </w:p>
          <w:p w14:paraId="3111922F" w14:textId="77777777" w:rsidR="00E401EC" w:rsidRPr="006C19B1" w:rsidRDefault="00E401EC" w:rsidP="006C19B1">
            <w:pPr>
              <w:pStyle w:val="ListParagraph"/>
              <w:numPr>
                <w:ilvl w:val="0"/>
                <w:numId w:val="44"/>
              </w:numPr>
              <w:tabs>
                <w:tab w:val="left" w:pos="438"/>
              </w:tabs>
              <w:rPr>
                <w:color w:val="000000" w:themeColor="text1"/>
              </w:rPr>
            </w:pPr>
            <w:r w:rsidRPr="006C19B1">
              <w:rPr>
                <w:color w:val="000000" w:themeColor="text1"/>
              </w:rPr>
              <w:t xml:space="preserve">Farmer Institutional Support Services </w:t>
            </w:r>
          </w:p>
          <w:p w14:paraId="0A21E0D5" w14:textId="77777777" w:rsidR="00E401EC" w:rsidRPr="006C19B1" w:rsidRDefault="00E401EC" w:rsidP="006C19B1">
            <w:pPr>
              <w:pStyle w:val="ListParagraph"/>
              <w:numPr>
                <w:ilvl w:val="0"/>
                <w:numId w:val="44"/>
              </w:numPr>
              <w:tabs>
                <w:tab w:val="left" w:pos="438"/>
              </w:tabs>
              <w:rPr>
                <w:color w:val="000000" w:themeColor="text1"/>
              </w:rPr>
            </w:pPr>
            <w:r w:rsidRPr="006C19B1">
              <w:rPr>
                <w:color w:val="000000" w:themeColor="text1"/>
              </w:rPr>
              <w:t>Large scale Training centres</w:t>
            </w:r>
          </w:p>
          <w:p w14:paraId="50BAF0FE" w14:textId="77777777" w:rsidR="00E401EC" w:rsidRDefault="00E401EC" w:rsidP="006C19B1">
            <w:pPr>
              <w:pStyle w:val="ListParagraph"/>
              <w:numPr>
                <w:ilvl w:val="0"/>
                <w:numId w:val="44"/>
              </w:numPr>
              <w:tabs>
                <w:tab w:val="left" w:pos="438"/>
              </w:tabs>
            </w:pPr>
            <w:r w:rsidRPr="006C19B1">
              <w:rPr>
                <w:color w:val="000000" w:themeColor="text1"/>
              </w:rPr>
              <w:t>Specialist Farmer field schools – which should be at this stage coordinated by the centre</w:t>
            </w:r>
            <w:r>
              <w:t xml:space="preserve"> </w:t>
            </w:r>
          </w:p>
        </w:tc>
      </w:tr>
      <w:tr w:rsidR="00E401EC" w14:paraId="388780F9" w14:textId="77777777" w:rsidTr="005807DF">
        <w:tc>
          <w:tcPr>
            <w:tcW w:w="1555" w:type="dxa"/>
          </w:tcPr>
          <w:p w14:paraId="213A3CBD" w14:textId="25ED2FD2" w:rsidR="00E401EC" w:rsidRPr="000F5470" w:rsidRDefault="00E401EC" w:rsidP="005807DF">
            <w:pPr>
              <w:jc w:val="both"/>
            </w:pPr>
            <w:r>
              <w:lastRenderedPageBreak/>
              <w:t>Development Activities</w:t>
            </w:r>
          </w:p>
        </w:tc>
        <w:tc>
          <w:tcPr>
            <w:tcW w:w="4394" w:type="dxa"/>
          </w:tcPr>
          <w:p w14:paraId="416B9BC3" w14:textId="6C1CA030" w:rsidR="00E401EC" w:rsidRPr="000F5470" w:rsidRDefault="00E401EC" w:rsidP="00E401EC">
            <w:pPr>
              <w:pStyle w:val="ListParagraph"/>
              <w:numPr>
                <w:ilvl w:val="0"/>
                <w:numId w:val="44"/>
              </w:numPr>
              <w:jc w:val="both"/>
            </w:pPr>
            <w:r w:rsidRPr="000F5470">
              <w:t xml:space="preserve">Communal nurseries </w:t>
            </w:r>
          </w:p>
          <w:p w14:paraId="5843505F" w14:textId="77777777" w:rsidR="00E401EC" w:rsidRPr="000F5470" w:rsidRDefault="00E401EC" w:rsidP="00E401EC">
            <w:pPr>
              <w:pStyle w:val="ListParagraph"/>
              <w:numPr>
                <w:ilvl w:val="0"/>
                <w:numId w:val="44"/>
              </w:numPr>
              <w:jc w:val="both"/>
            </w:pPr>
            <w:r w:rsidRPr="000F5470">
              <w:t xml:space="preserve">School gardens </w:t>
            </w:r>
          </w:p>
          <w:p w14:paraId="296F1FC2" w14:textId="77777777" w:rsidR="00E401EC" w:rsidRPr="000F5470" w:rsidRDefault="00E401EC" w:rsidP="00E401EC">
            <w:pPr>
              <w:pStyle w:val="ListParagraph"/>
              <w:numPr>
                <w:ilvl w:val="0"/>
                <w:numId w:val="44"/>
              </w:numPr>
              <w:jc w:val="both"/>
            </w:pPr>
            <w:r w:rsidRPr="000F5470">
              <w:t>Provision of foundation seeds for improved crop varieties to farmer groups</w:t>
            </w:r>
          </w:p>
          <w:p w14:paraId="272227C0" w14:textId="77777777" w:rsidR="00E401EC" w:rsidRPr="000F5470" w:rsidRDefault="00E401EC" w:rsidP="00E401EC">
            <w:pPr>
              <w:pStyle w:val="ListParagraph"/>
              <w:numPr>
                <w:ilvl w:val="0"/>
                <w:numId w:val="44"/>
              </w:numPr>
              <w:jc w:val="both"/>
            </w:pPr>
            <w:r w:rsidRPr="000F5470">
              <w:t>Provision of foundation stocking materials of improved breeds of livestock (including poultry) to farmer groups</w:t>
            </w:r>
          </w:p>
          <w:p w14:paraId="645BB528" w14:textId="28F36829" w:rsidR="00E401EC" w:rsidRPr="000F5470" w:rsidRDefault="00E401EC" w:rsidP="00E401EC">
            <w:pPr>
              <w:pStyle w:val="ListParagraph"/>
              <w:numPr>
                <w:ilvl w:val="0"/>
                <w:numId w:val="44"/>
              </w:numPr>
              <w:jc w:val="both"/>
            </w:pPr>
            <w:r w:rsidRPr="000F5470">
              <w:t>Pr</w:t>
            </w:r>
            <w:r w:rsidR="005807DF">
              <w:t>ovision of support to community-</w:t>
            </w:r>
            <w:r w:rsidRPr="000F5470">
              <w:t>based multiplication of planting and stocking materials</w:t>
            </w:r>
          </w:p>
          <w:p w14:paraId="2D41B984" w14:textId="77777777" w:rsidR="00E401EC" w:rsidRPr="000F5470" w:rsidRDefault="00E401EC" w:rsidP="00E401EC">
            <w:pPr>
              <w:pStyle w:val="ListParagraph"/>
              <w:numPr>
                <w:ilvl w:val="0"/>
                <w:numId w:val="44"/>
              </w:numPr>
              <w:jc w:val="both"/>
            </w:pPr>
            <w:r w:rsidRPr="000F5470">
              <w:t>Support to community hatcheries for fish fry and fingerlings</w:t>
            </w:r>
          </w:p>
          <w:p w14:paraId="71B561DE" w14:textId="77777777" w:rsidR="00E401EC" w:rsidRPr="006C19B1" w:rsidRDefault="00E401EC" w:rsidP="00E401EC">
            <w:pPr>
              <w:pStyle w:val="ListParagraph"/>
              <w:numPr>
                <w:ilvl w:val="0"/>
                <w:numId w:val="44"/>
              </w:numPr>
              <w:jc w:val="both"/>
              <w:rPr>
                <w:color w:val="000000" w:themeColor="text1"/>
              </w:rPr>
            </w:pPr>
            <w:r w:rsidRPr="000F5470">
              <w:t>Establishing commodity outlet centres for bulking; value addition; grading; packaging and branding</w:t>
            </w:r>
          </w:p>
          <w:p w14:paraId="21FBDECE" w14:textId="67F341BA" w:rsidR="00E401EC" w:rsidRPr="006F1F61" w:rsidRDefault="00E401EC">
            <w:pPr>
              <w:pStyle w:val="ListParagraph"/>
              <w:numPr>
                <w:ilvl w:val="0"/>
                <w:numId w:val="44"/>
              </w:numPr>
              <w:jc w:val="both"/>
              <w:rPr>
                <w:color w:val="000000" w:themeColor="text1"/>
              </w:rPr>
            </w:pPr>
            <w:r>
              <w:t>Pilot soil testing, artificial insemination activities / programmes</w:t>
            </w:r>
          </w:p>
        </w:tc>
        <w:tc>
          <w:tcPr>
            <w:tcW w:w="3067" w:type="dxa"/>
          </w:tcPr>
          <w:p w14:paraId="569F4E31" w14:textId="4542D9AF" w:rsidR="00E401EC" w:rsidRPr="006F1F61" w:rsidRDefault="00E401EC">
            <w:pPr>
              <w:pStyle w:val="ListParagraph"/>
              <w:numPr>
                <w:ilvl w:val="0"/>
                <w:numId w:val="44"/>
              </w:numPr>
              <w:tabs>
                <w:tab w:val="left" w:pos="438"/>
              </w:tabs>
              <w:rPr>
                <w:color w:val="000000" w:themeColor="text1"/>
              </w:rPr>
            </w:pPr>
            <w:r>
              <w:t>Procurement of vaccines / veterinary supplies</w:t>
            </w:r>
          </w:p>
        </w:tc>
      </w:tr>
    </w:tbl>
    <w:p w14:paraId="2D345FA9" w14:textId="77777777" w:rsidR="00DC3767" w:rsidRDefault="00DC3767" w:rsidP="006C19B1">
      <w:pPr>
        <w:keepNext/>
        <w:keepLines/>
        <w:spacing w:before="40" w:after="0"/>
        <w:outlineLvl w:val="1"/>
      </w:pPr>
    </w:p>
    <w:p w14:paraId="4A55C7A7" w14:textId="57D91B52" w:rsidR="006C19B1" w:rsidRDefault="006C19B1" w:rsidP="006C19B1">
      <w:pPr>
        <w:keepNext/>
        <w:keepLines/>
        <w:spacing w:before="40" w:after="0"/>
        <w:outlineLvl w:val="1"/>
      </w:pPr>
      <w:r>
        <w:rPr>
          <w:rFonts w:ascii="Calibri" w:hAnsi="Calibri" w:cs="Calibri"/>
        </w:rPr>
        <w:t xml:space="preserve">The table below provides an indicative list of </w:t>
      </w:r>
      <w:r>
        <w:rPr>
          <w:rFonts w:ascii="Calibri" w:hAnsi="Calibri" w:cs="Calibri"/>
          <w:b/>
          <w:bCs/>
        </w:rPr>
        <w:t>capacity development activities</w:t>
      </w:r>
      <w:r>
        <w:rPr>
          <w:rFonts w:ascii="Calibri" w:hAnsi="Calibri" w:cs="Calibri"/>
        </w:rPr>
        <w:t xml:space="preserve"> which may or may not be funded under the sector development budget from central government grants:</w:t>
      </w:r>
    </w:p>
    <w:p w14:paraId="3B069C62" w14:textId="77777777" w:rsidR="006C19B1" w:rsidRPr="00D14BCA" w:rsidRDefault="006C19B1" w:rsidP="006C19B1">
      <w:pPr>
        <w:pStyle w:val="Heading3"/>
      </w:pPr>
    </w:p>
    <w:tbl>
      <w:tblPr>
        <w:tblStyle w:val="TableGrid"/>
        <w:tblW w:w="0" w:type="auto"/>
        <w:tblLook w:val="04A0" w:firstRow="1" w:lastRow="0" w:firstColumn="1" w:lastColumn="0" w:noHBand="0" w:noVBand="1"/>
      </w:tblPr>
      <w:tblGrid>
        <w:gridCol w:w="4248"/>
        <w:gridCol w:w="4768"/>
      </w:tblGrid>
      <w:tr w:rsidR="006C19B1" w14:paraId="73201986" w14:textId="77777777" w:rsidTr="006B6899">
        <w:trPr>
          <w:tblHeader/>
        </w:trPr>
        <w:tc>
          <w:tcPr>
            <w:tcW w:w="4248" w:type="dxa"/>
            <w:shd w:val="clear" w:color="auto" w:fill="E7E6E6" w:themeFill="background2"/>
          </w:tcPr>
          <w:p w14:paraId="07AA2928" w14:textId="77777777" w:rsidR="006C19B1" w:rsidRDefault="006C19B1" w:rsidP="006B6899">
            <w:r>
              <w:t>Positive list (what may be funded)</w:t>
            </w:r>
          </w:p>
        </w:tc>
        <w:tc>
          <w:tcPr>
            <w:tcW w:w="4768" w:type="dxa"/>
            <w:shd w:val="clear" w:color="auto" w:fill="E7E6E6" w:themeFill="background2"/>
          </w:tcPr>
          <w:p w14:paraId="25F996EF" w14:textId="77777777" w:rsidR="006C19B1" w:rsidRDefault="006C19B1" w:rsidP="006B6899">
            <w:r>
              <w:t>Negative list (what may not be funded)</w:t>
            </w:r>
          </w:p>
        </w:tc>
      </w:tr>
      <w:tr w:rsidR="006C19B1" w14:paraId="2D47F6F4" w14:textId="77777777" w:rsidTr="006B6899">
        <w:tc>
          <w:tcPr>
            <w:tcW w:w="4248" w:type="dxa"/>
          </w:tcPr>
          <w:p w14:paraId="31802D8E" w14:textId="77777777" w:rsidR="006C19B1" w:rsidRDefault="006C19B1" w:rsidP="006B6899">
            <w:pPr>
              <w:pStyle w:val="ListParagraph"/>
              <w:numPr>
                <w:ilvl w:val="0"/>
                <w:numId w:val="11"/>
              </w:numPr>
              <w:jc w:val="both"/>
            </w:pPr>
            <w:r>
              <w:t xml:space="preserve">Support training for extension service workers especially on new fish farming practices, crop technologies/varieties, and livestock practices </w:t>
            </w:r>
          </w:p>
          <w:p w14:paraId="1D606E70" w14:textId="77777777" w:rsidR="006C19B1" w:rsidRDefault="006C19B1" w:rsidP="006B6899">
            <w:pPr>
              <w:pStyle w:val="ListParagraph"/>
              <w:numPr>
                <w:ilvl w:val="0"/>
                <w:numId w:val="11"/>
              </w:numPr>
              <w:jc w:val="both"/>
            </w:pPr>
            <w:r>
              <w:t>Short courses for staff in specific technical areas</w:t>
            </w:r>
          </w:p>
        </w:tc>
        <w:tc>
          <w:tcPr>
            <w:tcW w:w="4768" w:type="dxa"/>
          </w:tcPr>
          <w:p w14:paraId="17798DF7" w14:textId="77777777" w:rsidR="006C19B1" w:rsidRDefault="006C19B1" w:rsidP="006B6899">
            <w:pPr>
              <w:pStyle w:val="ListParagraph"/>
              <w:numPr>
                <w:ilvl w:val="0"/>
                <w:numId w:val="11"/>
              </w:numPr>
              <w:jc w:val="both"/>
            </w:pPr>
            <w:r>
              <w:t>Training at high level especially Master Programs for district level technical staff</w:t>
            </w:r>
          </w:p>
        </w:tc>
      </w:tr>
    </w:tbl>
    <w:p w14:paraId="3CD9A749" w14:textId="77777777" w:rsidR="006C19B1" w:rsidRDefault="006C19B1" w:rsidP="006C19B1">
      <w:pPr>
        <w:pStyle w:val="ListParagraph"/>
        <w:spacing w:after="0" w:line="240" w:lineRule="auto"/>
        <w:jc w:val="both"/>
      </w:pPr>
    </w:p>
    <w:p w14:paraId="6FCD88D1" w14:textId="77777777" w:rsidR="006C19B1" w:rsidRDefault="006C19B1" w:rsidP="006C19B1">
      <w:pPr>
        <w:keepNext/>
        <w:keepLines/>
        <w:spacing w:before="40" w:after="0"/>
        <w:outlineLvl w:val="1"/>
      </w:pPr>
    </w:p>
    <w:sectPr w:rsidR="006C19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425D" w14:textId="77777777" w:rsidR="00460B91" w:rsidRDefault="00460B91" w:rsidP="00DC3767">
      <w:pPr>
        <w:spacing w:after="0" w:line="240" w:lineRule="auto"/>
      </w:pPr>
      <w:r>
        <w:separator/>
      </w:r>
    </w:p>
  </w:endnote>
  <w:endnote w:type="continuationSeparator" w:id="0">
    <w:p w14:paraId="6B3C9126" w14:textId="77777777" w:rsidR="00460B91" w:rsidRDefault="00460B91" w:rsidP="00DC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815A" w14:textId="77777777" w:rsidR="006F1F61" w:rsidRDefault="006F1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52507"/>
      <w:docPartObj>
        <w:docPartGallery w:val="Page Numbers (Bottom of Page)"/>
        <w:docPartUnique/>
      </w:docPartObj>
    </w:sdtPr>
    <w:sdtEndPr>
      <w:rPr>
        <w:noProof/>
      </w:rPr>
    </w:sdtEndPr>
    <w:sdtContent>
      <w:p w14:paraId="577B4D60" w14:textId="77777777" w:rsidR="006F1F61" w:rsidRDefault="006F1F61">
        <w:pPr>
          <w:pStyle w:val="Footer"/>
          <w:jc w:val="center"/>
        </w:pPr>
        <w:r>
          <w:fldChar w:fldCharType="begin"/>
        </w:r>
        <w:r>
          <w:instrText xml:space="preserve"> PAGE   \* MERGEFORMAT </w:instrText>
        </w:r>
        <w:r>
          <w:fldChar w:fldCharType="separate"/>
        </w:r>
        <w:r w:rsidR="00FE2900">
          <w:rPr>
            <w:noProof/>
          </w:rPr>
          <w:t>5</w:t>
        </w:r>
        <w:r>
          <w:rPr>
            <w:noProof/>
          </w:rPr>
          <w:fldChar w:fldCharType="end"/>
        </w:r>
      </w:p>
    </w:sdtContent>
  </w:sdt>
  <w:p w14:paraId="30544021" w14:textId="77777777" w:rsidR="006F1F61" w:rsidRDefault="006F1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BA77" w14:textId="77777777" w:rsidR="006F1F61" w:rsidRDefault="006F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0667" w14:textId="77777777" w:rsidR="00460B91" w:rsidRDefault="00460B91" w:rsidP="00DC3767">
      <w:pPr>
        <w:spacing w:after="0" w:line="240" w:lineRule="auto"/>
      </w:pPr>
      <w:r>
        <w:separator/>
      </w:r>
    </w:p>
  </w:footnote>
  <w:footnote w:type="continuationSeparator" w:id="0">
    <w:p w14:paraId="651E5467" w14:textId="77777777" w:rsidR="00460B91" w:rsidRDefault="00460B91" w:rsidP="00DC3767">
      <w:pPr>
        <w:spacing w:after="0" w:line="240" w:lineRule="auto"/>
      </w:pPr>
      <w:r>
        <w:continuationSeparator/>
      </w:r>
    </w:p>
  </w:footnote>
  <w:footnote w:id="1">
    <w:p w14:paraId="770391C7" w14:textId="77777777" w:rsidR="006F1F61" w:rsidRPr="002F3FB7" w:rsidRDefault="006F1F61" w:rsidP="00D96E8A">
      <w:pPr>
        <w:pStyle w:val="FootnoteText"/>
        <w:rPr>
          <w:lang w:val="en-US"/>
        </w:rPr>
      </w:pPr>
      <w:r>
        <w:rPr>
          <w:rStyle w:val="FootnoteReference"/>
        </w:rPr>
        <w:footnoteRef/>
      </w:r>
      <w:r>
        <w:t xml:space="preserve"> </w:t>
      </w:r>
      <w:r w:rsidRPr="002F3FB7">
        <w:rPr>
          <w:sz w:val="20"/>
          <w:szCs w:val="20"/>
        </w:rPr>
        <w:t xml:space="preserve">In </w:t>
      </w:r>
      <w:r>
        <w:rPr>
          <w:sz w:val="20"/>
          <w:szCs w:val="20"/>
        </w:rPr>
        <w:t>the Local Government Act</w:t>
      </w:r>
      <w:r w:rsidRPr="002F3FB7">
        <w:rPr>
          <w:sz w:val="20"/>
          <w:szCs w:val="20"/>
        </w:rPr>
        <w:t xml:space="preserve"> it is noted that Government is responsible for Agricultural Policy.</w:t>
      </w:r>
      <w:r>
        <w:rPr>
          <w:sz w:val="20"/>
          <w:szCs w:val="20"/>
        </w:rPr>
        <w:t xml:space="preserve"> For more information see Functions and Services of the Government and Local government (second schedule 30</w:t>
      </w:r>
      <w:proofErr w:type="gramStart"/>
      <w:r>
        <w:rPr>
          <w:sz w:val="20"/>
          <w:szCs w:val="20"/>
        </w:rPr>
        <w:t>,31</w:t>
      </w:r>
      <w:proofErr w:type="gramEnd"/>
      <w:r>
        <w:rPr>
          <w:sz w:val="20"/>
          <w:szCs w:val="20"/>
        </w:rPr>
        <w:t xml:space="preserve">), page 103 of the Local Government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3145" w14:textId="77777777" w:rsidR="006F1F61" w:rsidRDefault="006F1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567878"/>
      <w:docPartObj>
        <w:docPartGallery w:val="Watermarks"/>
        <w:docPartUnique/>
      </w:docPartObj>
    </w:sdtPr>
    <w:sdtEndPr/>
    <w:sdtContent>
      <w:p w14:paraId="62C8749B" w14:textId="77777777" w:rsidR="006F1F61" w:rsidRDefault="00460B91">
        <w:pPr>
          <w:pStyle w:val="Header"/>
        </w:pPr>
        <w:r>
          <w:rPr>
            <w:noProof/>
            <w:lang w:val="en-US"/>
          </w:rPr>
          <w:pict w14:anchorId="3CBB4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535B" w14:textId="77777777" w:rsidR="006F1F61" w:rsidRDefault="006F1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4AC"/>
    <w:multiLevelType w:val="hybridMultilevel"/>
    <w:tmpl w:val="7BCCB0D0"/>
    <w:lvl w:ilvl="0" w:tplc="E7BE26B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F613F"/>
    <w:multiLevelType w:val="hybridMultilevel"/>
    <w:tmpl w:val="387EB552"/>
    <w:lvl w:ilvl="0" w:tplc="15DCECD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1F9"/>
    <w:multiLevelType w:val="hybridMultilevel"/>
    <w:tmpl w:val="6A6E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FFD"/>
    <w:multiLevelType w:val="hybridMultilevel"/>
    <w:tmpl w:val="BABC7258"/>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1832"/>
    <w:multiLevelType w:val="hybridMultilevel"/>
    <w:tmpl w:val="2EEA2B3E"/>
    <w:lvl w:ilvl="0" w:tplc="FE06EF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83B3A"/>
    <w:multiLevelType w:val="hybridMultilevel"/>
    <w:tmpl w:val="BE2AD27C"/>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69DA"/>
    <w:multiLevelType w:val="hybridMultilevel"/>
    <w:tmpl w:val="C1BE2D08"/>
    <w:lvl w:ilvl="0" w:tplc="CA9C717A">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00EA"/>
    <w:multiLevelType w:val="hybridMultilevel"/>
    <w:tmpl w:val="6F6E4498"/>
    <w:lvl w:ilvl="0" w:tplc="EF7285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6DAB"/>
    <w:multiLevelType w:val="hybridMultilevel"/>
    <w:tmpl w:val="013E19A8"/>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B52"/>
    <w:multiLevelType w:val="hybridMultilevel"/>
    <w:tmpl w:val="F90606A2"/>
    <w:lvl w:ilvl="0" w:tplc="B9AA263A">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0" w15:restartNumberingAfterBreak="0">
    <w:nsid w:val="1E8D4FE0"/>
    <w:multiLevelType w:val="hybridMultilevel"/>
    <w:tmpl w:val="3C92F9A0"/>
    <w:lvl w:ilvl="0" w:tplc="9004870C">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1EEC7375"/>
    <w:multiLevelType w:val="hybridMultilevel"/>
    <w:tmpl w:val="843671AA"/>
    <w:lvl w:ilvl="0" w:tplc="10DE99AC">
      <w:numFmt w:val="bullet"/>
      <w:lvlText w:val="•"/>
      <w:lvlJc w:val="left"/>
      <w:pPr>
        <w:ind w:left="795" w:hanging="43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A1EF9"/>
    <w:multiLevelType w:val="hybridMultilevel"/>
    <w:tmpl w:val="FF02BE06"/>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B0F01"/>
    <w:multiLevelType w:val="hybridMultilevel"/>
    <w:tmpl w:val="A96AB964"/>
    <w:lvl w:ilvl="0" w:tplc="B9AA26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102109"/>
    <w:multiLevelType w:val="hybridMultilevel"/>
    <w:tmpl w:val="086ECEB6"/>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5325"/>
    <w:multiLevelType w:val="hybridMultilevel"/>
    <w:tmpl w:val="AC2A31E6"/>
    <w:lvl w:ilvl="0" w:tplc="5A34EF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D727C"/>
    <w:multiLevelType w:val="hybridMultilevel"/>
    <w:tmpl w:val="673E2DCE"/>
    <w:lvl w:ilvl="0" w:tplc="DC6A54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A157D"/>
    <w:multiLevelType w:val="hybridMultilevel"/>
    <w:tmpl w:val="3E72E636"/>
    <w:lvl w:ilvl="0" w:tplc="E7BE26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B620E"/>
    <w:multiLevelType w:val="hybridMultilevel"/>
    <w:tmpl w:val="F2368814"/>
    <w:lvl w:ilvl="0" w:tplc="6BDC31F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0B1495"/>
    <w:multiLevelType w:val="hybridMultilevel"/>
    <w:tmpl w:val="89121CC8"/>
    <w:lvl w:ilvl="0" w:tplc="E7BE26B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A67744"/>
    <w:multiLevelType w:val="hybridMultilevel"/>
    <w:tmpl w:val="8EA01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42D9F"/>
    <w:multiLevelType w:val="hybridMultilevel"/>
    <w:tmpl w:val="9DCA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74008"/>
    <w:multiLevelType w:val="hybridMultilevel"/>
    <w:tmpl w:val="65C46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9960D6"/>
    <w:multiLevelType w:val="hybridMultilevel"/>
    <w:tmpl w:val="A5EC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587862"/>
    <w:multiLevelType w:val="hybridMultilevel"/>
    <w:tmpl w:val="1F6A72CE"/>
    <w:lvl w:ilvl="0" w:tplc="CC463A6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6A7283"/>
    <w:multiLevelType w:val="hybridMultilevel"/>
    <w:tmpl w:val="D31A199E"/>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17FBE"/>
    <w:multiLevelType w:val="hybridMultilevel"/>
    <w:tmpl w:val="0706D276"/>
    <w:lvl w:ilvl="0" w:tplc="9BE2A6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46BF5C59"/>
    <w:multiLevelType w:val="hybridMultilevel"/>
    <w:tmpl w:val="012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446D7"/>
    <w:multiLevelType w:val="hybridMultilevel"/>
    <w:tmpl w:val="D55A74A0"/>
    <w:lvl w:ilvl="0" w:tplc="40740262">
      <w:numFmt w:val="bullet"/>
      <w:lvlText w:val="-"/>
      <w:lvlJc w:val="left"/>
      <w:pPr>
        <w:ind w:left="517" w:hanging="360"/>
      </w:pPr>
      <w:rPr>
        <w:rFonts w:ascii="Calibri" w:eastAsiaTheme="minorHAnsi" w:hAnsi="Calibri" w:cstheme="minorBidi"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9" w15:restartNumberingAfterBreak="0">
    <w:nsid w:val="47E32513"/>
    <w:multiLevelType w:val="hybridMultilevel"/>
    <w:tmpl w:val="BB6A7D04"/>
    <w:lvl w:ilvl="0" w:tplc="A1361780">
      <w:start w:val="1"/>
      <w:numFmt w:val="decimal"/>
      <w:lvlText w:val="%1."/>
      <w:lvlJc w:val="left"/>
      <w:pPr>
        <w:ind w:left="360" w:hanging="360"/>
      </w:pPr>
      <w:rPr>
        <w:rFonts w:hint="default"/>
        <w:sz w:val="7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94A57CE"/>
    <w:multiLevelType w:val="hybridMultilevel"/>
    <w:tmpl w:val="674066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B2331DD"/>
    <w:multiLevelType w:val="hybridMultilevel"/>
    <w:tmpl w:val="008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F0D8B"/>
    <w:multiLevelType w:val="hybridMultilevel"/>
    <w:tmpl w:val="03A2AAF2"/>
    <w:lvl w:ilvl="0" w:tplc="04F6D3CE">
      <w:start w:val="1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92C08"/>
    <w:multiLevelType w:val="hybridMultilevel"/>
    <w:tmpl w:val="06820DCC"/>
    <w:lvl w:ilvl="0" w:tplc="E492331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159EB"/>
    <w:multiLevelType w:val="hybridMultilevel"/>
    <w:tmpl w:val="BCC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2A3865"/>
    <w:multiLevelType w:val="hybridMultilevel"/>
    <w:tmpl w:val="1B2A8FA2"/>
    <w:lvl w:ilvl="0" w:tplc="31585F8C">
      <w:start w:val="1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C53A2"/>
    <w:multiLevelType w:val="hybridMultilevel"/>
    <w:tmpl w:val="DF0434E8"/>
    <w:lvl w:ilvl="0" w:tplc="3A10CA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12DC8"/>
    <w:multiLevelType w:val="hybridMultilevel"/>
    <w:tmpl w:val="416E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4088A"/>
    <w:multiLevelType w:val="hybridMultilevel"/>
    <w:tmpl w:val="AE906F8E"/>
    <w:lvl w:ilvl="0" w:tplc="0E94AF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A73B6"/>
    <w:multiLevelType w:val="hybridMultilevel"/>
    <w:tmpl w:val="BD7E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D81BA0"/>
    <w:multiLevelType w:val="hybridMultilevel"/>
    <w:tmpl w:val="DE5E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611BB"/>
    <w:multiLevelType w:val="hybridMultilevel"/>
    <w:tmpl w:val="D414B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3A774E"/>
    <w:multiLevelType w:val="hybridMultilevel"/>
    <w:tmpl w:val="BF56F14C"/>
    <w:lvl w:ilvl="0" w:tplc="2A6E182C">
      <w:start w:val="1"/>
      <w:numFmt w:val="bullet"/>
      <w:lvlText w:val="-"/>
      <w:lvlJc w:val="left"/>
      <w:pPr>
        <w:ind w:left="720" w:hanging="360"/>
      </w:pPr>
      <w:rPr>
        <w:rFonts w:ascii="Calibri Light" w:eastAsiaTheme="majorEastAsia" w:hAnsi="Calibri Light"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87589"/>
    <w:multiLevelType w:val="hybridMultilevel"/>
    <w:tmpl w:val="CFF0AFB6"/>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151B4"/>
    <w:multiLevelType w:val="hybridMultilevel"/>
    <w:tmpl w:val="4322D138"/>
    <w:lvl w:ilvl="0" w:tplc="B9AA2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
  </w:num>
  <w:num w:numId="4">
    <w:abstractNumId w:val="42"/>
  </w:num>
  <w:num w:numId="5">
    <w:abstractNumId w:val="1"/>
  </w:num>
  <w:num w:numId="6">
    <w:abstractNumId w:val="16"/>
  </w:num>
  <w:num w:numId="7">
    <w:abstractNumId w:val="33"/>
  </w:num>
  <w:num w:numId="8">
    <w:abstractNumId w:val="31"/>
  </w:num>
  <w:num w:numId="9">
    <w:abstractNumId w:val="34"/>
  </w:num>
  <w:num w:numId="10">
    <w:abstractNumId w:val="21"/>
  </w:num>
  <w:num w:numId="11">
    <w:abstractNumId w:val="0"/>
  </w:num>
  <w:num w:numId="12">
    <w:abstractNumId w:val="17"/>
  </w:num>
  <w:num w:numId="13">
    <w:abstractNumId w:val="19"/>
  </w:num>
  <w:num w:numId="14">
    <w:abstractNumId w:val="5"/>
  </w:num>
  <w:num w:numId="15">
    <w:abstractNumId w:val="28"/>
  </w:num>
  <w:num w:numId="16">
    <w:abstractNumId w:val="10"/>
  </w:num>
  <w:num w:numId="17">
    <w:abstractNumId w:val="7"/>
  </w:num>
  <w:num w:numId="18">
    <w:abstractNumId w:val="38"/>
  </w:num>
  <w:num w:numId="19">
    <w:abstractNumId w:val="15"/>
  </w:num>
  <w:num w:numId="20">
    <w:abstractNumId w:val="44"/>
  </w:num>
  <w:num w:numId="21">
    <w:abstractNumId w:val="12"/>
  </w:num>
  <w:num w:numId="22">
    <w:abstractNumId w:val="32"/>
  </w:num>
  <w:num w:numId="23">
    <w:abstractNumId w:val="3"/>
  </w:num>
  <w:num w:numId="24">
    <w:abstractNumId w:val="35"/>
  </w:num>
  <w:num w:numId="25">
    <w:abstractNumId w:val="14"/>
  </w:num>
  <w:num w:numId="26">
    <w:abstractNumId w:val="13"/>
  </w:num>
  <w:num w:numId="27">
    <w:abstractNumId w:val="25"/>
  </w:num>
  <w:num w:numId="28">
    <w:abstractNumId w:val="6"/>
  </w:num>
  <w:num w:numId="29">
    <w:abstractNumId w:val="37"/>
  </w:num>
  <w:num w:numId="30">
    <w:abstractNumId w:val="20"/>
  </w:num>
  <w:num w:numId="31">
    <w:abstractNumId w:val="4"/>
  </w:num>
  <w:num w:numId="32">
    <w:abstractNumId w:val="18"/>
  </w:num>
  <w:num w:numId="33">
    <w:abstractNumId w:val="43"/>
  </w:num>
  <w:num w:numId="34">
    <w:abstractNumId w:val="9"/>
  </w:num>
  <w:num w:numId="35">
    <w:abstractNumId w:val="8"/>
  </w:num>
  <w:num w:numId="36">
    <w:abstractNumId w:val="36"/>
  </w:num>
  <w:num w:numId="37">
    <w:abstractNumId w:val="24"/>
  </w:num>
  <w:num w:numId="38">
    <w:abstractNumId w:val="26"/>
  </w:num>
  <w:num w:numId="39">
    <w:abstractNumId w:val="27"/>
  </w:num>
  <w:num w:numId="40">
    <w:abstractNumId w:val="40"/>
  </w:num>
  <w:num w:numId="41">
    <w:abstractNumId w:val="39"/>
  </w:num>
  <w:num w:numId="42">
    <w:abstractNumId w:val="11"/>
  </w:num>
  <w:num w:numId="43">
    <w:abstractNumId w:val="41"/>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19"/>
    <w:rsid w:val="00042214"/>
    <w:rsid w:val="000423C5"/>
    <w:rsid w:val="0004273B"/>
    <w:rsid w:val="00047F58"/>
    <w:rsid w:val="000647EB"/>
    <w:rsid w:val="00073216"/>
    <w:rsid w:val="000C1C3A"/>
    <w:rsid w:val="000D1E14"/>
    <w:rsid w:val="000D4F38"/>
    <w:rsid w:val="000D5B67"/>
    <w:rsid w:val="000E4581"/>
    <w:rsid w:val="00100157"/>
    <w:rsid w:val="00112CC1"/>
    <w:rsid w:val="00114627"/>
    <w:rsid w:val="00122B39"/>
    <w:rsid w:val="00156A96"/>
    <w:rsid w:val="00166AEC"/>
    <w:rsid w:val="00172100"/>
    <w:rsid w:val="00173905"/>
    <w:rsid w:val="00175A84"/>
    <w:rsid w:val="001762A7"/>
    <w:rsid w:val="001845DD"/>
    <w:rsid w:val="00186167"/>
    <w:rsid w:val="001912B3"/>
    <w:rsid w:val="001A4BCC"/>
    <w:rsid w:val="001A7A55"/>
    <w:rsid w:val="001C245F"/>
    <w:rsid w:val="00204550"/>
    <w:rsid w:val="0021336A"/>
    <w:rsid w:val="002305BB"/>
    <w:rsid w:val="002306CC"/>
    <w:rsid w:val="0024176E"/>
    <w:rsid w:val="00242CE8"/>
    <w:rsid w:val="00245777"/>
    <w:rsid w:val="002459C2"/>
    <w:rsid w:val="002554AE"/>
    <w:rsid w:val="002647BB"/>
    <w:rsid w:val="002657D1"/>
    <w:rsid w:val="00265E37"/>
    <w:rsid w:val="00266325"/>
    <w:rsid w:val="00270FEB"/>
    <w:rsid w:val="00276BD9"/>
    <w:rsid w:val="0029794B"/>
    <w:rsid w:val="002B19E6"/>
    <w:rsid w:val="002B2408"/>
    <w:rsid w:val="002D4CE7"/>
    <w:rsid w:val="002D4E0C"/>
    <w:rsid w:val="002D513E"/>
    <w:rsid w:val="00314FD1"/>
    <w:rsid w:val="00324EA4"/>
    <w:rsid w:val="00330E23"/>
    <w:rsid w:val="00332B4E"/>
    <w:rsid w:val="0033629A"/>
    <w:rsid w:val="00337C24"/>
    <w:rsid w:val="003464B7"/>
    <w:rsid w:val="00350888"/>
    <w:rsid w:val="00352650"/>
    <w:rsid w:val="003551C1"/>
    <w:rsid w:val="003634C1"/>
    <w:rsid w:val="003714A1"/>
    <w:rsid w:val="00376166"/>
    <w:rsid w:val="003763C6"/>
    <w:rsid w:val="003774F6"/>
    <w:rsid w:val="0038742A"/>
    <w:rsid w:val="0038795C"/>
    <w:rsid w:val="00387F52"/>
    <w:rsid w:val="003A09F1"/>
    <w:rsid w:val="003A61EC"/>
    <w:rsid w:val="003B3122"/>
    <w:rsid w:val="003B36ED"/>
    <w:rsid w:val="003B4389"/>
    <w:rsid w:val="003B762F"/>
    <w:rsid w:val="003C2E0E"/>
    <w:rsid w:val="003E2EA4"/>
    <w:rsid w:val="004005DA"/>
    <w:rsid w:val="00431942"/>
    <w:rsid w:val="004365E1"/>
    <w:rsid w:val="0044433A"/>
    <w:rsid w:val="0045686A"/>
    <w:rsid w:val="00460B91"/>
    <w:rsid w:val="004618AA"/>
    <w:rsid w:val="004717FC"/>
    <w:rsid w:val="00472EA6"/>
    <w:rsid w:val="004772C5"/>
    <w:rsid w:val="004B0F38"/>
    <w:rsid w:val="004C4D2D"/>
    <w:rsid w:val="00500494"/>
    <w:rsid w:val="00502FEF"/>
    <w:rsid w:val="00506A3A"/>
    <w:rsid w:val="00524BCE"/>
    <w:rsid w:val="00526DD1"/>
    <w:rsid w:val="00544E91"/>
    <w:rsid w:val="00551444"/>
    <w:rsid w:val="005544A8"/>
    <w:rsid w:val="005807DF"/>
    <w:rsid w:val="00580DE7"/>
    <w:rsid w:val="00583B7C"/>
    <w:rsid w:val="00585086"/>
    <w:rsid w:val="00591A20"/>
    <w:rsid w:val="005A04D4"/>
    <w:rsid w:val="005B2129"/>
    <w:rsid w:val="005B6261"/>
    <w:rsid w:val="005C00D7"/>
    <w:rsid w:val="005C08FA"/>
    <w:rsid w:val="005F4AC7"/>
    <w:rsid w:val="005F77EA"/>
    <w:rsid w:val="00603B6D"/>
    <w:rsid w:val="00605430"/>
    <w:rsid w:val="006057E1"/>
    <w:rsid w:val="00605B5D"/>
    <w:rsid w:val="00611297"/>
    <w:rsid w:val="00612D0F"/>
    <w:rsid w:val="006158D9"/>
    <w:rsid w:val="00615976"/>
    <w:rsid w:val="006178BF"/>
    <w:rsid w:val="00626046"/>
    <w:rsid w:val="00650545"/>
    <w:rsid w:val="006623DC"/>
    <w:rsid w:val="0067115E"/>
    <w:rsid w:val="00672D73"/>
    <w:rsid w:val="00673710"/>
    <w:rsid w:val="00685174"/>
    <w:rsid w:val="006915EE"/>
    <w:rsid w:val="00696410"/>
    <w:rsid w:val="006A06A6"/>
    <w:rsid w:val="006C19B1"/>
    <w:rsid w:val="006E0E0B"/>
    <w:rsid w:val="006E2499"/>
    <w:rsid w:val="006E371A"/>
    <w:rsid w:val="006E4B0D"/>
    <w:rsid w:val="006F1F61"/>
    <w:rsid w:val="007021B2"/>
    <w:rsid w:val="00702E31"/>
    <w:rsid w:val="0071227A"/>
    <w:rsid w:val="007145D2"/>
    <w:rsid w:val="00735A71"/>
    <w:rsid w:val="0073666C"/>
    <w:rsid w:val="007901F4"/>
    <w:rsid w:val="007931E9"/>
    <w:rsid w:val="007979EC"/>
    <w:rsid w:val="007A3EB3"/>
    <w:rsid w:val="007A5667"/>
    <w:rsid w:val="007A6DB7"/>
    <w:rsid w:val="007A7DC0"/>
    <w:rsid w:val="007C7C52"/>
    <w:rsid w:val="007D1825"/>
    <w:rsid w:val="007E1F59"/>
    <w:rsid w:val="007F49CA"/>
    <w:rsid w:val="00815414"/>
    <w:rsid w:val="00827C8C"/>
    <w:rsid w:val="00837B18"/>
    <w:rsid w:val="00841CC0"/>
    <w:rsid w:val="00847949"/>
    <w:rsid w:val="00850324"/>
    <w:rsid w:val="00855BBF"/>
    <w:rsid w:val="00872A9C"/>
    <w:rsid w:val="00874433"/>
    <w:rsid w:val="008919DE"/>
    <w:rsid w:val="00897401"/>
    <w:rsid w:val="008B3511"/>
    <w:rsid w:val="008B626D"/>
    <w:rsid w:val="008C50E6"/>
    <w:rsid w:val="008D6534"/>
    <w:rsid w:val="008D66AA"/>
    <w:rsid w:val="008E03D5"/>
    <w:rsid w:val="008E7076"/>
    <w:rsid w:val="008F3DEC"/>
    <w:rsid w:val="009013D9"/>
    <w:rsid w:val="009030E1"/>
    <w:rsid w:val="009066A4"/>
    <w:rsid w:val="00910699"/>
    <w:rsid w:val="009252E4"/>
    <w:rsid w:val="0092583A"/>
    <w:rsid w:val="009262AB"/>
    <w:rsid w:val="00943A85"/>
    <w:rsid w:val="00944110"/>
    <w:rsid w:val="009503BA"/>
    <w:rsid w:val="0095234D"/>
    <w:rsid w:val="009553A0"/>
    <w:rsid w:val="00977CDD"/>
    <w:rsid w:val="0098006B"/>
    <w:rsid w:val="0098769E"/>
    <w:rsid w:val="00994AFA"/>
    <w:rsid w:val="009A2991"/>
    <w:rsid w:val="009A615E"/>
    <w:rsid w:val="009A682A"/>
    <w:rsid w:val="009C0603"/>
    <w:rsid w:val="009C1B6D"/>
    <w:rsid w:val="009C1E6D"/>
    <w:rsid w:val="009C40DC"/>
    <w:rsid w:val="009C549D"/>
    <w:rsid w:val="009D41BA"/>
    <w:rsid w:val="009D52E8"/>
    <w:rsid w:val="009D728D"/>
    <w:rsid w:val="009E4202"/>
    <w:rsid w:val="009F329A"/>
    <w:rsid w:val="009F54A0"/>
    <w:rsid w:val="00A0432C"/>
    <w:rsid w:val="00A11278"/>
    <w:rsid w:val="00A270A2"/>
    <w:rsid w:val="00A31A67"/>
    <w:rsid w:val="00A51677"/>
    <w:rsid w:val="00A53BDC"/>
    <w:rsid w:val="00A609D1"/>
    <w:rsid w:val="00A80393"/>
    <w:rsid w:val="00AB3E18"/>
    <w:rsid w:val="00AF70C3"/>
    <w:rsid w:val="00B22536"/>
    <w:rsid w:val="00B22556"/>
    <w:rsid w:val="00B345A8"/>
    <w:rsid w:val="00B35BDE"/>
    <w:rsid w:val="00B362CC"/>
    <w:rsid w:val="00B42817"/>
    <w:rsid w:val="00B5100F"/>
    <w:rsid w:val="00B6608E"/>
    <w:rsid w:val="00B70831"/>
    <w:rsid w:val="00B71938"/>
    <w:rsid w:val="00B72802"/>
    <w:rsid w:val="00B806F2"/>
    <w:rsid w:val="00B84F90"/>
    <w:rsid w:val="00B94220"/>
    <w:rsid w:val="00B952D9"/>
    <w:rsid w:val="00B96BB4"/>
    <w:rsid w:val="00BA10E0"/>
    <w:rsid w:val="00BA2A16"/>
    <w:rsid w:val="00BA2C05"/>
    <w:rsid w:val="00BA6B44"/>
    <w:rsid w:val="00BC6319"/>
    <w:rsid w:val="00BE539F"/>
    <w:rsid w:val="00C01341"/>
    <w:rsid w:val="00C02644"/>
    <w:rsid w:val="00C04485"/>
    <w:rsid w:val="00C13A1D"/>
    <w:rsid w:val="00C25BB2"/>
    <w:rsid w:val="00C27598"/>
    <w:rsid w:val="00C352AB"/>
    <w:rsid w:val="00C41C05"/>
    <w:rsid w:val="00C51926"/>
    <w:rsid w:val="00C51935"/>
    <w:rsid w:val="00C62732"/>
    <w:rsid w:val="00C676C1"/>
    <w:rsid w:val="00C83DF4"/>
    <w:rsid w:val="00C87C7A"/>
    <w:rsid w:val="00C928DA"/>
    <w:rsid w:val="00CB3496"/>
    <w:rsid w:val="00CB3E54"/>
    <w:rsid w:val="00CC6FC0"/>
    <w:rsid w:val="00CD4E66"/>
    <w:rsid w:val="00CF0CFC"/>
    <w:rsid w:val="00CF2B45"/>
    <w:rsid w:val="00D02857"/>
    <w:rsid w:val="00D07BF5"/>
    <w:rsid w:val="00D14BCA"/>
    <w:rsid w:val="00D26A0C"/>
    <w:rsid w:val="00D276E5"/>
    <w:rsid w:val="00D37D08"/>
    <w:rsid w:val="00D40EE9"/>
    <w:rsid w:val="00D43278"/>
    <w:rsid w:val="00D44DA7"/>
    <w:rsid w:val="00D53DD5"/>
    <w:rsid w:val="00D73F77"/>
    <w:rsid w:val="00D77969"/>
    <w:rsid w:val="00D82800"/>
    <w:rsid w:val="00D844AA"/>
    <w:rsid w:val="00D913BF"/>
    <w:rsid w:val="00D964DB"/>
    <w:rsid w:val="00D96E8A"/>
    <w:rsid w:val="00DB1841"/>
    <w:rsid w:val="00DC36F8"/>
    <w:rsid w:val="00DC3767"/>
    <w:rsid w:val="00DC50FE"/>
    <w:rsid w:val="00DC7AD1"/>
    <w:rsid w:val="00DD1183"/>
    <w:rsid w:val="00E12F14"/>
    <w:rsid w:val="00E207D2"/>
    <w:rsid w:val="00E27669"/>
    <w:rsid w:val="00E401EC"/>
    <w:rsid w:val="00E4416B"/>
    <w:rsid w:val="00E447E0"/>
    <w:rsid w:val="00E61561"/>
    <w:rsid w:val="00E74FD6"/>
    <w:rsid w:val="00E7510C"/>
    <w:rsid w:val="00E81B71"/>
    <w:rsid w:val="00E82BB4"/>
    <w:rsid w:val="00E91115"/>
    <w:rsid w:val="00E92E5B"/>
    <w:rsid w:val="00EA0304"/>
    <w:rsid w:val="00EC1516"/>
    <w:rsid w:val="00ED4093"/>
    <w:rsid w:val="00EE2CE7"/>
    <w:rsid w:val="00EE4861"/>
    <w:rsid w:val="00EE7974"/>
    <w:rsid w:val="00EF31CB"/>
    <w:rsid w:val="00F0171F"/>
    <w:rsid w:val="00F21B5F"/>
    <w:rsid w:val="00F275EC"/>
    <w:rsid w:val="00F556A5"/>
    <w:rsid w:val="00F5776A"/>
    <w:rsid w:val="00F62A60"/>
    <w:rsid w:val="00F75BAC"/>
    <w:rsid w:val="00F95A49"/>
    <w:rsid w:val="00FA458D"/>
    <w:rsid w:val="00FA649F"/>
    <w:rsid w:val="00FA7731"/>
    <w:rsid w:val="00FB0E42"/>
    <w:rsid w:val="00FB280E"/>
    <w:rsid w:val="00FB7C2C"/>
    <w:rsid w:val="00FE2900"/>
    <w:rsid w:val="00FE45E2"/>
    <w:rsid w:val="00FF0360"/>
    <w:rsid w:val="00FF0A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D8320"/>
  <w15:docId w15:val="{BBC90E82-BD74-4C28-BFA7-F8F973A7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7C52"/>
    <w:pPr>
      <w:keepNext/>
      <w:keepLines/>
      <w:numPr>
        <w:numId w:val="37"/>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7C52"/>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paragraph" w:styleId="FootnoteText">
    <w:name w:val="footnote text"/>
    <w:basedOn w:val="Normal"/>
    <w:link w:val="FootnoteTextChar"/>
    <w:uiPriority w:val="99"/>
    <w:unhideWhenUsed/>
    <w:rsid w:val="00D96E8A"/>
    <w:pPr>
      <w:spacing w:after="0" w:line="240" w:lineRule="auto"/>
    </w:pPr>
    <w:rPr>
      <w:sz w:val="24"/>
      <w:szCs w:val="24"/>
    </w:rPr>
  </w:style>
  <w:style w:type="character" w:customStyle="1" w:styleId="FootnoteTextChar">
    <w:name w:val="Footnote Text Char"/>
    <w:basedOn w:val="DefaultParagraphFont"/>
    <w:link w:val="FootnoteText"/>
    <w:uiPriority w:val="99"/>
    <w:rsid w:val="00D96E8A"/>
    <w:rPr>
      <w:sz w:val="24"/>
      <w:szCs w:val="24"/>
    </w:rPr>
  </w:style>
  <w:style w:type="character" w:styleId="FootnoteReference">
    <w:name w:val="footnote reference"/>
    <w:basedOn w:val="DefaultParagraphFont"/>
    <w:uiPriority w:val="99"/>
    <w:unhideWhenUsed/>
    <w:rsid w:val="00D96E8A"/>
    <w:rPr>
      <w:vertAlign w:val="superscript"/>
    </w:rPr>
  </w:style>
  <w:style w:type="character" w:customStyle="1" w:styleId="ListParagraphChar">
    <w:name w:val="List Paragraph Char"/>
    <w:aliases w:val="List Paragraph (numbered (a)) Char,List Paragraph1 Char,Ha Char"/>
    <w:basedOn w:val="DefaultParagraphFont"/>
    <w:link w:val="ListParagraph"/>
    <w:uiPriority w:val="34"/>
    <w:locked/>
    <w:rsid w:val="00BA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14FC-88CE-445C-9988-C25FB70F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Sierd Hadley</dc:creator>
  <cp:lastModifiedBy>Tim Williamson</cp:lastModifiedBy>
  <cp:revision>4</cp:revision>
  <dcterms:created xsi:type="dcterms:W3CDTF">2015-11-04T10:43:00Z</dcterms:created>
  <dcterms:modified xsi:type="dcterms:W3CDTF">2015-11-05T05:30:00Z</dcterms:modified>
</cp:coreProperties>
</file>